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b/>
          <w:sz w:val="44"/>
          <w:szCs w:val="44"/>
          <w:lang w:val="en-US" w:eastAsia="zh-CN"/>
        </w:rPr>
      </w:pPr>
      <w:r>
        <w:rPr>
          <w:rFonts w:hint="eastAsia" w:ascii="仿宋" w:hAnsi="仿宋" w:eastAsia="仿宋"/>
          <w:b/>
          <w:sz w:val="44"/>
          <w:szCs w:val="44"/>
          <w:lang w:val="en-US" w:eastAsia="zh-CN"/>
        </w:rPr>
        <w:t>充电桩技术要求</w:t>
      </w:r>
    </w:p>
    <w:p>
      <w:pPr>
        <w:pStyle w:val="2"/>
        <w:rPr>
          <w:rFonts w:hint="eastAsia"/>
          <w:lang w:val="en-US" w:eastAsia="zh-CN"/>
        </w:rPr>
      </w:pPr>
    </w:p>
    <w:p>
      <w:pPr>
        <w:pStyle w:val="9"/>
        <w:pageBreakBefore w:val="0"/>
        <w:kinsoku/>
        <w:wordWrap/>
        <w:overflowPunct/>
        <w:topLinePunct w:val="0"/>
        <w:bidi w:val="0"/>
        <w:adjustRightInd w:val="0"/>
        <w:snapToGrid w:val="0"/>
        <w:spacing w:before="0" w:beforeAutospacing="0" w:after="0" w:afterAutospacing="0" w:line="460" w:lineRule="exact"/>
        <w:jc w:val="both"/>
        <w:rPr>
          <w:rFonts w:hint="default" w:ascii="仿宋" w:hAnsi="仿宋" w:eastAsia="仿宋" w:cs="仿宋"/>
          <w:b/>
          <w:bCs w:val="0"/>
          <w:color w:val="auto"/>
          <w:sz w:val="28"/>
          <w:szCs w:val="28"/>
          <w:highlight w:val="none"/>
          <w:lang w:val="en-US" w:eastAsia="zh-CN"/>
        </w:rPr>
      </w:pPr>
      <w:r>
        <w:rPr>
          <w:rFonts w:hint="eastAsia" w:ascii="仿宋" w:hAnsi="仿宋" w:eastAsia="仿宋" w:cs="仿宋"/>
          <w:b/>
          <w:bCs w:val="0"/>
          <w:color w:val="auto"/>
          <w:sz w:val="28"/>
          <w:szCs w:val="28"/>
          <w:highlight w:val="none"/>
          <w:lang w:val="en-US" w:eastAsia="zh-CN"/>
        </w:rPr>
        <w:t>一、汽车充电桩相关要求：</w:t>
      </w:r>
    </w:p>
    <w:p>
      <w:pPr>
        <w:pStyle w:val="9"/>
        <w:pageBreakBefore w:val="0"/>
        <w:kinsoku/>
        <w:wordWrap/>
        <w:overflowPunct/>
        <w:topLinePunct w:val="0"/>
        <w:bidi w:val="0"/>
        <w:adjustRightInd w:val="0"/>
        <w:snapToGrid w:val="0"/>
        <w:spacing w:before="0" w:beforeAutospacing="0" w:after="0" w:afterAutospacing="0" w:line="460" w:lineRule="exact"/>
        <w:jc w:val="both"/>
        <w:rPr>
          <w:rFonts w:hint="default" w:ascii="仿宋" w:hAnsi="仿宋" w:eastAsia="仿宋" w:cs="仿宋"/>
          <w:bCs/>
          <w:color w:val="auto"/>
          <w:sz w:val="21"/>
          <w:szCs w:val="21"/>
          <w:highlight w:val="none"/>
          <w:lang w:val="en-US" w:eastAsia="zh-CN"/>
        </w:rPr>
      </w:pPr>
      <w:r>
        <w:rPr>
          <w:rFonts w:hint="eastAsia" w:ascii="仿宋" w:hAnsi="仿宋" w:eastAsia="仿宋" w:cs="仿宋"/>
          <w:bCs/>
          <w:color w:val="auto"/>
          <w:sz w:val="21"/>
          <w:szCs w:val="21"/>
          <w:highlight w:val="none"/>
          <w:lang w:val="en-US" w:eastAsia="zh-CN"/>
        </w:rPr>
        <w:t>1、采购内容：</w:t>
      </w:r>
    </w:p>
    <w:p>
      <w:pPr>
        <w:pStyle w:val="9"/>
        <w:pageBreakBefore w:val="0"/>
        <w:kinsoku/>
        <w:wordWrap/>
        <w:overflowPunct/>
        <w:topLinePunct w:val="0"/>
        <w:bidi w:val="0"/>
        <w:adjustRightInd w:val="0"/>
        <w:snapToGrid w:val="0"/>
        <w:spacing w:before="0" w:beforeAutospacing="0" w:after="0" w:afterAutospacing="0" w:line="460" w:lineRule="exact"/>
        <w:jc w:val="both"/>
        <w:rPr>
          <w:rFonts w:hint="default" w:ascii="仿宋" w:hAnsi="仿宋" w:eastAsia="仿宋" w:cs="仿宋"/>
          <w:bCs/>
          <w:color w:val="auto"/>
          <w:sz w:val="21"/>
          <w:szCs w:val="21"/>
          <w:highlight w:val="none"/>
          <w:lang w:val="en-US" w:eastAsia="zh-CN"/>
        </w:rPr>
      </w:pPr>
      <w:r>
        <w:rPr>
          <w:rFonts w:hint="eastAsia" w:ascii="仿宋" w:hAnsi="仿宋" w:eastAsia="仿宋" w:cs="仿宋"/>
          <w:bCs/>
          <w:color w:val="auto"/>
          <w:sz w:val="21"/>
          <w:szCs w:val="21"/>
          <w:highlight w:val="none"/>
          <w:lang w:val="en-US" w:eastAsia="zh-CN"/>
        </w:rPr>
        <w:t>2、直流充电桩技术规范</w:t>
      </w:r>
    </w:p>
    <w:p>
      <w:pPr>
        <w:pStyle w:val="3"/>
        <w:numPr>
          <w:ilvl w:val="0"/>
          <w:numId w:val="0"/>
        </w:numPr>
        <w:tabs>
          <w:tab w:val="left" w:pos="425"/>
        </w:tabs>
        <w:spacing w:before="0" w:after="0" w:line="360" w:lineRule="auto"/>
        <w:ind w:leftChars="0"/>
        <w:rPr>
          <w:rFonts w:hint="eastAsia" w:ascii="仿宋" w:hAnsi="仿宋" w:eastAsia="仿宋" w:cs="仿宋"/>
          <w:color w:val="000000"/>
          <w:sz w:val="21"/>
          <w:szCs w:val="21"/>
        </w:rPr>
      </w:pPr>
      <w:bookmarkStart w:id="0" w:name="_Toc7880"/>
      <w:bookmarkStart w:id="1" w:name="_Toc15938"/>
      <w:bookmarkStart w:id="2" w:name="_Toc395186717"/>
      <w:bookmarkStart w:id="3" w:name="_Toc490064838"/>
      <w:bookmarkStart w:id="4" w:name="_Toc292025341"/>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一</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rPr>
        <w:t>总则</w:t>
      </w:r>
      <w:bookmarkEnd w:id="0"/>
      <w:bookmarkEnd w:id="1"/>
      <w:bookmarkEnd w:id="2"/>
      <w:bookmarkEnd w:id="3"/>
      <w:bookmarkEnd w:id="4"/>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1.1</w:t>
      </w:r>
      <w:r>
        <w:rPr>
          <w:rFonts w:hint="eastAsia" w:ascii="仿宋" w:hAnsi="仿宋" w:eastAsia="仿宋" w:cs="仿宋"/>
          <w:color w:val="000000"/>
          <w:sz w:val="21"/>
          <w:szCs w:val="21"/>
        </w:rPr>
        <w:t>本技术规范书适用于市场化充电设备采购项目采购。提出了该项目设备本体及附属设备的功能安装调试和试验等方面的技术要求。</w:t>
      </w:r>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1.2</w:t>
      </w:r>
      <w:r>
        <w:rPr>
          <w:rFonts w:hint="eastAsia" w:ascii="仿宋" w:hAnsi="仿宋" w:eastAsia="仿宋" w:cs="仿宋"/>
          <w:color w:val="000000"/>
          <w:sz w:val="21"/>
          <w:szCs w:val="21"/>
        </w:rPr>
        <w:t>本工程拟在业主指定的场站进行安装充电设施。</w:t>
      </w:r>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1.3</w:t>
      </w:r>
      <w:r>
        <w:rPr>
          <w:rFonts w:hint="eastAsia" w:ascii="仿宋" w:hAnsi="仿宋" w:eastAsia="仿宋" w:cs="仿宋"/>
          <w:color w:val="000000"/>
          <w:sz w:val="21"/>
          <w:szCs w:val="21"/>
        </w:rPr>
        <w:t>本技术规范书提出的是最低限度的技术要求。凡本技术规范书中未规定，但在相关行业标准、国家标准或IEC标准中有规定的规范条文，投标方应按相关标准的最高技术要求执行。对国家有关安全、环保等强制性标准，必须满足其要求。</w:t>
      </w:r>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1.4</w:t>
      </w:r>
      <w:r>
        <w:rPr>
          <w:rFonts w:hint="eastAsia" w:ascii="仿宋" w:hAnsi="仿宋" w:eastAsia="仿宋" w:cs="仿宋"/>
          <w:color w:val="000000"/>
          <w:sz w:val="21"/>
          <w:szCs w:val="21"/>
        </w:rPr>
        <w:t>项目不统一安排现场勘查，招标方不承担勘查费用。</w:t>
      </w:r>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1.5</w:t>
      </w:r>
      <w:r>
        <w:rPr>
          <w:rFonts w:hint="eastAsia" w:ascii="仿宋" w:hAnsi="仿宋" w:eastAsia="仿宋" w:cs="仿宋"/>
          <w:color w:val="000000"/>
          <w:sz w:val="21"/>
          <w:szCs w:val="21"/>
        </w:rPr>
        <w:t>本技术规范书所使用的标准如遇与投标方所执行的标准不一致时，按技术要求较高的标准执行。</w:t>
      </w:r>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1.6</w:t>
      </w:r>
      <w:r>
        <w:rPr>
          <w:rFonts w:hint="eastAsia" w:ascii="仿宋" w:hAnsi="仿宋" w:eastAsia="仿宋" w:cs="仿宋"/>
          <w:color w:val="000000"/>
          <w:sz w:val="21"/>
          <w:szCs w:val="21"/>
        </w:rPr>
        <w:t>本技术规范书经买、卖双方确认后作为订货合同的技术附件，与合同正文具有同等的法律效力。</w:t>
      </w:r>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1.7</w:t>
      </w:r>
      <w:r>
        <w:rPr>
          <w:rFonts w:hint="eastAsia" w:ascii="仿宋" w:hAnsi="仿宋" w:eastAsia="仿宋" w:cs="仿宋"/>
          <w:color w:val="000000"/>
          <w:sz w:val="21"/>
          <w:szCs w:val="21"/>
        </w:rPr>
        <w:t>本技术规范书未尽事宜，由买、卖双方协商确定。</w:t>
      </w:r>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1.8</w:t>
      </w:r>
      <w:r>
        <w:rPr>
          <w:rFonts w:hint="eastAsia" w:ascii="仿宋" w:hAnsi="仿宋" w:eastAsia="仿宋" w:cs="仿宋"/>
          <w:color w:val="000000"/>
          <w:sz w:val="21"/>
          <w:szCs w:val="21"/>
        </w:rPr>
        <w:t>投标方在投标技术文件中应如实反映投标产品与本技术规范书的技术差异。如果投标方没有提出技术差异，而在执行合同的过程中，招标方发现投标方提供的产品与其投标技术文件的条文存在差异，招标方有权利要求退货，并追究投标方违约责任。</w:t>
      </w:r>
    </w:p>
    <w:p>
      <w:pPr>
        <w:numPr>
          <w:ilvl w:val="0"/>
          <w:numId w:val="0"/>
        </w:numPr>
        <w:spacing w:line="360" w:lineRule="auto"/>
        <w:ind w:leftChars="0"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1.9</w:t>
      </w:r>
      <w:r>
        <w:rPr>
          <w:rFonts w:hint="eastAsia" w:ascii="仿宋" w:hAnsi="仿宋" w:eastAsia="仿宋" w:cs="仿宋"/>
          <w:color w:val="000000"/>
          <w:sz w:val="21"/>
          <w:szCs w:val="21"/>
        </w:rPr>
        <w:t>投标方应充分理解本技术规范书并按具体条款、格式要求填写投标的技术文件，如发现投标的技术文件条款、格式不符合本技术规范书的要求，则认为投标不严肃，在评标时将有不同程度的扣分。</w:t>
      </w:r>
    </w:p>
    <w:p>
      <w:pPr>
        <w:spacing w:line="360" w:lineRule="auto"/>
        <w:ind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rPr>
        <w:t>1.1</w:t>
      </w:r>
      <w:r>
        <w:rPr>
          <w:rFonts w:hint="eastAsia" w:ascii="仿宋" w:hAnsi="仿宋" w:eastAsia="仿宋" w:cs="仿宋"/>
          <w:color w:val="000000"/>
          <w:sz w:val="21"/>
          <w:szCs w:val="21"/>
          <w:lang w:val="en-US" w:eastAsia="zh-CN"/>
        </w:rPr>
        <w:t>0</w:t>
      </w:r>
      <w:r>
        <w:rPr>
          <w:rFonts w:hint="eastAsia" w:ascii="仿宋" w:hAnsi="仿宋" w:eastAsia="仿宋" w:cs="仿宋"/>
          <w:color w:val="000000"/>
          <w:sz w:val="21"/>
          <w:szCs w:val="21"/>
        </w:rPr>
        <w:t>本规范中涉及有关商务方面的内容，如与招标文件的商务部分有矛盾时，以商务部分为准。</w:t>
      </w:r>
    </w:p>
    <w:p>
      <w:pPr>
        <w:pStyle w:val="3"/>
        <w:numPr>
          <w:ilvl w:val="0"/>
          <w:numId w:val="0"/>
        </w:numPr>
        <w:tabs>
          <w:tab w:val="left" w:pos="425"/>
        </w:tabs>
        <w:spacing w:before="0" w:after="0" w:line="360" w:lineRule="auto"/>
        <w:ind w:leftChars="0"/>
        <w:rPr>
          <w:rFonts w:hint="eastAsia" w:ascii="仿宋" w:hAnsi="仿宋" w:eastAsia="仿宋" w:cs="仿宋"/>
          <w:color w:val="000000"/>
          <w:sz w:val="21"/>
          <w:szCs w:val="21"/>
        </w:rPr>
      </w:pPr>
      <w:bookmarkStart w:id="5" w:name="_Toc21269"/>
      <w:bookmarkStart w:id="6" w:name="_Toc22772"/>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二</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rPr>
        <w:t>应遵循的主要标准</w:t>
      </w:r>
      <w:bookmarkEnd w:id="5"/>
      <w:bookmarkEnd w:id="6"/>
    </w:p>
    <w:p>
      <w:pPr>
        <w:ind w:firstLine="420" w:firstLineChars="200"/>
        <w:rPr>
          <w:rFonts w:hint="eastAsia" w:ascii="仿宋" w:hAnsi="仿宋" w:eastAsia="仿宋" w:cs="仿宋"/>
          <w:color w:val="000000"/>
          <w:sz w:val="21"/>
          <w:szCs w:val="21"/>
        </w:rPr>
      </w:pPr>
      <w:r>
        <w:rPr>
          <w:rFonts w:hint="eastAsia" w:ascii="仿宋" w:hAnsi="仿宋" w:eastAsia="仿宋" w:cs="仿宋"/>
          <w:color w:val="000000"/>
          <w:sz w:val="21"/>
          <w:szCs w:val="21"/>
        </w:rPr>
        <w:t>下列标准中所列条款通过本规范引用而成为本规范的条款。凡是注日期的引用文件，仅注日期的版本适用于本技术规范书。凡是不注日期的引用文件，其最新版本（包括所有的修改单）适用于本文件：</w:t>
      </w:r>
    </w:p>
    <w:p>
      <w:pPr>
        <w:widowControl/>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GB/T 7424.1-2003《光缆第一部分：总规范》</w:t>
      </w:r>
    </w:p>
    <w:p>
      <w:pPr>
        <w:spacing w:line="360" w:lineRule="auto"/>
        <w:ind w:firstLine="420"/>
        <w:rPr>
          <w:rFonts w:hint="eastAsia" w:ascii="仿宋" w:hAnsi="仿宋" w:eastAsia="仿宋" w:cs="仿宋"/>
          <w:sz w:val="21"/>
          <w:szCs w:val="21"/>
        </w:rPr>
      </w:pPr>
      <w:r>
        <w:rPr>
          <w:rFonts w:hint="eastAsia" w:ascii="仿宋" w:hAnsi="仿宋" w:eastAsia="仿宋" w:cs="仿宋"/>
          <w:sz w:val="21"/>
          <w:szCs w:val="21"/>
        </w:rPr>
        <w:t>GB/T 14549-1993《电能质量 公用电网谐波》</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GB/Z 17625.6-2003《电磁兼容 限值 对额定电流大于16A的设备在低压供电系统中产生的谐波电流的限制》</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GB/Z 17625.6-2003《电磁兼容 限值 对额定电流大于16A的设备在低压供电系统中产生的谐波电流的限制》</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GB/T 18487.1-2015《电动汽车传导充电系统 第一部分：通用要求》；</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GB/T 19596-2004《电动汽车术语》</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GB/T 20234-2006《电动汽车传导充电用插头、插座、车辆耦合器和车辆插孔通用要求》</w:t>
      </w:r>
    </w:p>
    <w:p>
      <w:pPr>
        <w:widowControl/>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GB/T 20234.1-2015《电动汽车传导充电用连接装置 第一部分：通用要求》</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GB/T 20234.3-2015《电动汽车传导充电用连接装置 第三部分：直流充电接口》；</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GB/T 27930-2015《电动汽车非车载传导充电机与电池管理系统之间的通信协议》；</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 xml:space="preserve">GB50003--2011砌体结构设计规范 </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50010-2010《混凝土结构设计规范》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50052-2009《供配电系统设计规范》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50053-2013《20kV及以下变电站设计规范》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50054-2011《低压配电设计规范》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GB50061-2010《66kV及以下架空电力线路设计规范》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50065-2011《交流电气装置的接地设计规范》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50108-2011《地下工程防水技术规范》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50150-2006《电气装置安装工程  电气设备交接试验标准》</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50168-2006《电气装置安装工程电缆线路施工及验收规范》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50169-2006《电气装置安装工程接地装置施工及验收规范》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50173-92《电气装置安装工程35kV及以下架空电力线路施工及验收规范》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50208-2011《地下防水工程质量验收规范》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50217-2007《电力工程电缆设计规范》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50217-2007《电力工程电缆设计规范》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 50332-2002《给水排水工程管道结构设计规范》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GB/T 50476-2008混凝土结构耐久性设计规范</w:t>
      </w:r>
    </w:p>
    <w:p>
      <w:pPr>
        <w:widowControl/>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DL/T 5161.1～5161.17-2002《电气装置安装工程质量检验及评定规程》</w:t>
      </w:r>
    </w:p>
    <w:p>
      <w:pPr>
        <w:widowControl/>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JGJ 118-2012《冻土地区建筑地基基础设计规范》</w:t>
      </w:r>
    </w:p>
    <w:p>
      <w:pPr>
        <w:widowControl/>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DLGJ 154-2000《电缆防火措施设计和施工验收标准》</w:t>
      </w:r>
    </w:p>
    <w:p>
      <w:pPr>
        <w:widowControl/>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GA161-1997《防火封堵材料的性能要求和实验方法》</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国家电力监管委员会 第5号令《电力二次系统安全防护规定》。</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QC/T 743-2006《电动汽车用锂离子蓄电池》</w:t>
      </w:r>
    </w:p>
    <w:p>
      <w:pPr>
        <w:widowControl/>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Q/GDW 1807—2012 终端通信接入网工程典型设计规范。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Q/GDW 237-2009《电动汽车充电站布置设计导则》；</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Q/GDW 238-2009《电动汽车充电站供电系统规范》；</w:t>
      </w:r>
    </w:p>
    <w:p>
      <w:pPr>
        <w:spacing w:line="360" w:lineRule="auto"/>
        <w:rPr>
          <w:rFonts w:hint="eastAsia" w:ascii="仿宋" w:hAnsi="仿宋" w:eastAsia="仿宋" w:cs="仿宋"/>
          <w:sz w:val="21"/>
          <w:szCs w:val="21"/>
        </w:rPr>
      </w:pPr>
      <w:r>
        <w:rPr>
          <w:rFonts w:hint="eastAsia" w:ascii="仿宋" w:hAnsi="仿宋" w:eastAsia="仿宋" w:cs="仿宋"/>
          <w:sz w:val="21"/>
          <w:szCs w:val="21"/>
        </w:rPr>
        <w:t xml:space="preserve">    Q/GDW 382-2009《配电自动化技术导则》及编制说明。</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Q/GDW 397-2009《电动汽车非车载充放电装置通用技术要求》；</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Q/GDW 398-2009《电动汽车非车载充放电装置电气接口规范 》；</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Q/GDW 399-2009《电动汽车直流供电装置电气接口规范》；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Q/GDW 400-2009《电动汽车充放电计费装置技术规范》；</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《国家电网公司电动汽车充电设施建设指导意见》；</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《电动汽车公共充电桩信息化服务平台：平台与充电桩通信规约》；</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 xml:space="preserve"> 国标GB/T39752-2021《电动汽车供电设备安全要求及试验规范》；</w:t>
      </w:r>
    </w:p>
    <w:p>
      <w:pPr>
        <w:pStyle w:val="3"/>
        <w:numPr>
          <w:ilvl w:val="0"/>
          <w:numId w:val="0"/>
        </w:numPr>
        <w:tabs>
          <w:tab w:val="left" w:pos="425"/>
        </w:tabs>
        <w:spacing w:before="0" w:after="0" w:line="360" w:lineRule="auto"/>
        <w:ind w:leftChars="0"/>
        <w:rPr>
          <w:rFonts w:hint="eastAsia" w:ascii="仿宋" w:hAnsi="仿宋" w:eastAsia="仿宋" w:cs="仿宋"/>
          <w:color w:val="000000"/>
          <w:sz w:val="21"/>
          <w:szCs w:val="21"/>
        </w:rPr>
      </w:pPr>
      <w:bookmarkStart w:id="7" w:name="_Toc12512"/>
      <w:bookmarkStart w:id="8" w:name="_Toc13553"/>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三</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rPr>
        <w:t>主要设备技术要求</w:t>
      </w:r>
      <w:bookmarkEnd w:id="7"/>
      <w:bookmarkEnd w:id="8"/>
    </w:p>
    <w:p>
      <w:pPr>
        <w:autoSpaceDE w:val="0"/>
        <w:autoSpaceDN w:val="0"/>
        <w:adjustRightInd w:val="0"/>
        <w:ind w:firstLine="422" w:firstLineChars="200"/>
        <w:jc w:val="left"/>
        <w:outlineLvl w:val="1"/>
        <w:rPr>
          <w:rFonts w:hint="eastAsia" w:ascii="仿宋" w:hAnsi="仿宋" w:eastAsia="仿宋" w:cs="仿宋"/>
          <w:b/>
          <w:sz w:val="21"/>
          <w:szCs w:val="21"/>
        </w:rPr>
      </w:pPr>
      <w:bookmarkStart w:id="9" w:name="_Toc18309"/>
      <w:bookmarkStart w:id="10" w:name="_Toc15300"/>
      <w:r>
        <w:rPr>
          <w:rFonts w:hint="eastAsia" w:ascii="仿宋" w:hAnsi="仿宋" w:eastAsia="仿宋" w:cs="仿宋"/>
          <w:b/>
          <w:sz w:val="21"/>
          <w:szCs w:val="21"/>
        </w:rPr>
        <w:t>3.1 直流充电设备</w:t>
      </w:r>
      <w:bookmarkEnd w:id="9"/>
      <w:bookmarkEnd w:id="10"/>
    </w:p>
    <w:p>
      <w:pPr>
        <w:autoSpaceDE w:val="0"/>
        <w:autoSpaceDN w:val="0"/>
        <w:adjustRightInd w:val="0"/>
        <w:ind w:firstLine="422" w:firstLineChars="200"/>
        <w:jc w:val="left"/>
        <w:rPr>
          <w:rFonts w:hint="eastAsia" w:ascii="仿宋" w:hAnsi="仿宋" w:eastAsia="仿宋" w:cs="仿宋"/>
          <w:b/>
          <w:kern w:val="0"/>
          <w:sz w:val="21"/>
          <w:szCs w:val="21"/>
        </w:rPr>
      </w:pPr>
      <w:r>
        <w:rPr>
          <w:rFonts w:hint="eastAsia" w:ascii="仿宋" w:hAnsi="仿宋" w:eastAsia="仿宋" w:cs="仿宋"/>
          <w:b/>
          <w:kern w:val="0"/>
          <w:sz w:val="21"/>
          <w:szCs w:val="21"/>
        </w:rPr>
        <w:t>3.1.1设备选型</w:t>
      </w:r>
    </w:p>
    <w:p>
      <w:pPr>
        <w:autoSpaceDE w:val="0"/>
        <w:autoSpaceDN w:val="0"/>
        <w:adjustRightInd w:val="0"/>
        <w:ind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设备选用</w:t>
      </w:r>
      <w:r>
        <w:rPr>
          <w:rFonts w:hint="eastAsia" w:ascii="仿宋" w:hAnsi="仿宋" w:eastAsia="仿宋" w:cs="仿宋"/>
          <w:sz w:val="21"/>
          <w:szCs w:val="21"/>
        </w:rPr>
        <w:t>根据具体项目设计图纸，一般采用</w:t>
      </w:r>
      <w:r>
        <w:rPr>
          <w:rFonts w:hint="eastAsia" w:ascii="仿宋" w:hAnsi="仿宋" w:eastAsia="仿宋" w:cs="仿宋"/>
          <w:kern w:val="0"/>
          <w:sz w:val="21"/>
          <w:szCs w:val="21"/>
        </w:rPr>
        <w:t>落地式户外安装。</w:t>
      </w:r>
    </w:p>
    <w:p>
      <w:pPr>
        <w:autoSpaceDE w:val="0"/>
        <w:autoSpaceDN w:val="0"/>
        <w:adjustRightInd w:val="0"/>
        <w:ind w:firstLine="422" w:firstLineChars="200"/>
        <w:jc w:val="left"/>
        <w:rPr>
          <w:rFonts w:hint="eastAsia" w:ascii="仿宋" w:hAnsi="仿宋" w:eastAsia="仿宋" w:cs="仿宋"/>
          <w:b/>
          <w:kern w:val="0"/>
          <w:sz w:val="21"/>
          <w:szCs w:val="21"/>
        </w:rPr>
      </w:pPr>
      <w:r>
        <w:rPr>
          <w:rFonts w:hint="eastAsia" w:ascii="仿宋" w:hAnsi="仿宋" w:eastAsia="仿宋" w:cs="仿宋"/>
          <w:b/>
          <w:kern w:val="0"/>
          <w:sz w:val="21"/>
          <w:szCs w:val="21"/>
        </w:rPr>
        <w:t>3.1.2主要技术参数</w:t>
      </w:r>
    </w:p>
    <w:p>
      <w:pPr>
        <w:autoSpaceDE w:val="0"/>
        <w:autoSpaceDN w:val="0"/>
        <w:adjustRightInd w:val="0"/>
        <w:ind w:firstLine="422" w:firstLineChars="200"/>
        <w:jc w:val="left"/>
        <w:rPr>
          <w:rFonts w:hint="eastAsia" w:ascii="仿宋" w:hAnsi="仿宋" w:eastAsia="仿宋" w:cs="仿宋"/>
          <w:kern w:val="0"/>
          <w:sz w:val="21"/>
          <w:szCs w:val="21"/>
        </w:rPr>
      </w:pPr>
      <w:r>
        <w:rPr>
          <w:rFonts w:hint="eastAsia" w:ascii="仿宋" w:hAnsi="仿宋" w:eastAsia="仿宋" w:cs="仿宋"/>
          <w:b/>
          <w:kern w:val="0"/>
          <w:sz w:val="21"/>
          <w:szCs w:val="21"/>
        </w:rPr>
        <w:t>3.1.2.1</w:t>
      </w:r>
      <w:r>
        <w:rPr>
          <w:rFonts w:hint="eastAsia" w:ascii="仿宋" w:hAnsi="仿宋" w:eastAsia="仿宋" w:cs="仿宋"/>
          <w:kern w:val="0"/>
          <w:sz w:val="21"/>
          <w:szCs w:val="21"/>
        </w:rPr>
        <w:t>环境条件</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环境温度：-20℃～50℃；</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相对湿度：5％～95％；</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海拔高度：≤2000m；</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大气压强：80kPa～110kPa。</w:t>
      </w:r>
    </w:p>
    <w:p>
      <w:pPr>
        <w:autoSpaceDE w:val="0"/>
        <w:autoSpaceDN w:val="0"/>
        <w:adjustRightInd w:val="0"/>
        <w:ind w:firstLine="422" w:firstLineChars="200"/>
        <w:jc w:val="left"/>
        <w:rPr>
          <w:rFonts w:hint="eastAsia" w:ascii="仿宋" w:hAnsi="仿宋" w:eastAsia="仿宋" w:cs="仿宋"/>
          <w:kern w:val="0"/>
          <w:sz w:val="21"/>
          <w:szCs w:val="21"/>
        </w:rPr>
      </w:pPr>
      <w:r>
        <w:rPr>
          <w:rFonts w:hint="eastAsia" w:ascii="仿宋" w:hAnsi="仿宋" w:eastAsia="仿宋" w:cs="仿宋"/>
          <w:b/>
          <w:kern w:val="0"/>
          <w:sz w:val="21"/>
          <w:szCs w:val="21"/>
        </w:rPr>
        <w:t>3.1.2.2</w:t>
      </w:r>
      <w:r>
        <w:rPr>
          <w:rFonts w:hint="eastAsia" w:ascii="仿宋" w:hAnsi="仿宋" w:eastAsia="仿宋" w:cs="仿宋"/>
          <w:kern w:val="0"/>
          <w:sz w:val="21"/>
          <w:szCs w:val="21"/>
        </w:rPr>
        <w:t>输入电源条件</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交流输入电压：380V±15％；</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交流电源频率：50Hz±1Hz。</w:t>
      </w:r>
    </w:p>
    <w:p>
      <w:pPr>
        <w:autoSpaceDE w:val="0"/>
        <w:autoSpaceDN w:val="0"/>
        <w:adjustRightInd w:val="0"/>
        <w:ind w:firstLine="422" w:firstLineChars="200"/>
        <w:jc w:val="left"/>
        <w:rPr>
          <w:rFonts w:hint="eastAsia" w:ascii="仿宋" w:hAnsi="仿宋" w:eastAsia="仿宋" w:cs="仿宋"/>
          <w:kern w:val="0"/>
          <w:sz w:val="21"/>
          <w:szCs w:val="21"/>
        </w:rPr>
      </w:pPr>
      <w:r>
        <w:rPr>
          <w:rFonts w:hint="eastAsia" w:ascii="仿宋" w:hAnsi="仿宋" w:eastAsia="仿宋" w:cs="仿宋"/>
          <w:b/>
          <w:kern w:val="0"/>
          <w:sz w:val="21"/>
          <w:szCs w:val="21"/>
        </w:rPr>
        <w:t>3.1.2.3</w:t>
      </w:r>
      <w:r>
        <w:rPr>
          <w:rFonts w:hint="eastAsia" w:ascii="仿宋" w:hAnsi="仿宋" w:eastAsia="仿宋" w:cs="仿宋"/>
          <w:kern w:val="0"/>
          <w:sz w:val="21"/>
          <w:szCs w:val="21"/>
        </w:rPr>
        <w:t>直流充电机输出规格参数</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输出电压范围：200～750V，恒功率输出电压范围：DC 400-500 V和600-750 V；</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输出电压误差：不超过±0.5％；</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输出电流误差：≥30A：不超过±1%；</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lang w:val="pt-BR"/>
        </w:rPr>
        <w:t xml:space="preserve">              ＜30A：</w:t>
      </w:r>
      <w:r>
        <w:rPr>
          <w:rFonts w:hint="eastAsia" w:ascii="仿宋" w:hAnsi="仿宋" w:eastAsia="仿宋" w:cs="仿宋"/>
          <w:kern w:val="0"/>
          <w:sz w:val="21"/>
          <w:szCs w:val="21"/>
          <w:lang w:val="zh-CN"/>
        </w:rPr>
        <w:t>不超过</w:t>
      </w:r>
      <w:r>
        <w:rPr>
          <w:rFonts w:hint="eastAsia" w:ascii="仿宋" w:hAnsi="仿宋" w:eastAsia="仿宋" w:cs="仿宋"/>
          <w:kern w:val="0"/>
          <w:sz w:val="21"/>
          <w:szCs w:val="21"/>
          <w:lang w:val="pt-BR"/>
        </w:rPr>
        <w:t>±0.3A；</w:t>
      </w:r>
    </w:p>
    <w:p>
      <w:pPr>
        <w:ind w:firstLine="422" w:firstLineChars="200"/>
        <w:rPr>
          <w:rFonts w:hint="eastAsia" w:ascii="仿宋" w:hAnsi="仿宋" w:eastAsia="仿宋" w:cs="仿宋"/>
          <w:kern w:val="0"/>
          <w:sz w:val="21"/>
          <w:szCs w:val="21"/>
        </w:rPr>
      </w:pPr>
      <w:r>
        <w:rPr>
          <w:rFonts w:hint="eastAsia" w:ascii="仿宋" w:hAnsi="仿宋" w:eastAsia="仿宋" w:cs="仿宋"/>
          <w:b/>
          <w:kern w:val="0"/>
          <w:sz w:val="21"/>
          <w:szCs w:val="21"/>
        </w:rPr>
        <w:t>3.1.2.4</w:t>
      </w:r>
      <w:r>
        <w:rPr>
          <w:rFonts w:hint="eastAsia" w:ascii="仿宋" w:hAnsi="仿宋" w:eastAsia="仿宋" w:cs="仿宋"/>
          <w:kern w:val="0"/>
          <w:sz w:val="21"/>
          <w:szCs w:val="21"/>
        </w:rPr>
        <w:t>低压辅助电源</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充电机应能为电动汽车提供低压辅助电源，且具备过负荷、过压、过温保护等功能。</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辅助电源电压：DC12V；</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辅助电源额定电流：10A；</w:t>
      </w:r>
    </w:p>
    <w:p>
      <w:pPr>
        <w:autoSpaceDE w:val="0"/>
        <w:autoSpaceDN w:val="0"/>
        <w:adjustRightInd w:val="0"/>
        <w:ind w:left="280" w:leftChars="100" w:firstLine="420" w:firstLineChars="200"/>
        <w:jc w:val="left"/>
        <w:rPr>
          <w:rFonts w:hint="eastAsia" w:ascii="仿宋" w:hAnsi="仿宋" w:eastAsia="仿宋" w:cs="仿宋"/>
          <w:kern w:val="0"/>
          <w:sz w:val="21"/>
          <w:szCs w:val="21"/>
        </w:rPr>
      </w:pPr>
      <w:r>
        <w:rPr>
          <w:rFonts w:hint="eastAsia" w:ascii="仿宋" w:hAnsi="仿宋" w:eastAsia="仿宋" w:cs="仿宋"/>
          <w:kern w:val="0"/>
          <w:sz w:val="21"/>
          <w:szCs w:val="21"/>
        </w:rPr>
        <w:t>纹波峰值系数：不超过±1%。</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w:t>
      </w:r>
      <w:r>
        <w:rPr>
          <w:rFonts w:hint="eastAsia" w:ascii="仿宋" w:hAnsi="仿宋" w:eastAsia="仿宋" w:cs="仿宋"/>
          <w:b/>
          <w:sz w:val="21"/>
          <w:szCs w:val="21"/>
        </w:rPr>
        <w:t>主要功能</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w:t>
      </w:r>
      <w:r>
        <w:rPr>
          <w:rFonts w:hint="eastAsia" w:ascii="仿宋" w:hAnsi="仿宋" w:eastAsia="仿宋" w:cs="仿宋"/>
          <w:b/>
          <w:sz w:val="21"/>
          <w:szCs w:val="21"/>
        </w:rPr>
        <w:t>充电设定方式：</w:t>
      </w:r>
    </w:p>
    <w:p>
      <w:pPr>
        <w:ind w:firstLine="420" w:firstLineChars="200"/>
        <w:rPr>
          <w:rFonts w:hint="eastAsia" w:ascii="仿宋" w:hAnsi="仿宋" w:eastAsia="仿宋" w:cs="仿宋"/>
          <w:sz w:val="21"/>
          <w:szCs w:val="21"/>
        </w:rPr>
      </w:pPr>
      <w:r>
        <w:rPr>
          <w:rFonts w:hint="eastAsia" w:ascii="仿宋" w:hAnsi="仿宋" w:eastAsia="仿宋" w:cs="仿宋"/>
          <w:sz w:val="21"/>
          <w:szCs w:val="21"/>
          <w:lang w:val="zh-CN"/>
        </w:rPr>
        <w:t>在充电过程中，充电机依据电动汽车电池管理系统提供的数据动态调整充电参数，执行相应动作，完成充电过程</w:t>
      </w:r>
      <w:r>
        <w:rPr>
          <w:rFonts w:hint="eastAsia" w:ascii="仿宋" w:hAnsi="仿宋" w:eastAsia="仿宋" w:cs="仿宋"/>
          <w:sz w:val="21"/>
          <w:szCs w:val="21"/>
        </w:rPr>
        <w:t>。</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3.1.3.2</w:t>
      </w:r>
      <w:r>
        <w:rPr>
          <w:rFonts w:hint="eastAsia" w:ascii="仿宋" w:hAnsi="仿宋" w:eastAsia="仿宋" w:cs="仿宋"/>
          <w:b/>
          <w:sz w:val="21"/>
          <w:szCs w:val="21"/>
        </w:rPr>
        <w:t>充电模式和连接方式</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充电机采用GB/T18487.1-2015中规定的充电模式4和连接方式C对电动汽车进行充电。充电接口应满足GB/T20234.1-2015和 GB/T20234.3-2015的规定。</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3.1.3.3</w:t>
      </w:r>
      <w:r>
        <w:rPr>
          <w:rFonts w:hint="eastAsia" w:ascii="仿宋" w:hAnsi="仿宋" w:eastAsia="仿宋" w:cs="仿宋"/>
          <w:b/>
          <w:sz w:val="21"/>
          <w:szCs w:val="21"/>
        </w:rPr>
        <w:t>控制导引和充电控制</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充电机应具备控制导引功能。控制导引电路及控制原理应满足GB/T18487.1-2015附录B中的规定。</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3.1.3.4</w:t>
      </w:r>
      <w:r>
        <w:rPr>
          <w:rFonts w:hint="eastAsia" w:ascii="仿宋" w:hAnsi="仿宋" w:eastAsia="仿宋" w:cs="仿宋"/>
          <w:b/>
          <w:sz w:val="21"/>
          <w:szCs w:val="21"/>
        </w:rPr>
        <w:t>与电池管理系统通信功能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充电机应具有与电池管理系统通信的CAN接口，获得电池管理系统的充电参数和充电实时数据。通信协议应能满足 GB/T 27930-2015的规定。</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3.1.3.5</w:t>
      </w:r>
      <w:r>
        <w:rPr>
          <w:rFonts w:hint="eastAsia" w:ascii="仿宋" w:hAnsi="仿宋" w:eastAsia="仿宋" w:cs="仿宋"/>
          <w:b/>
          <w:sz w:val="21"/>
          <w:szCs w:val="21"/>
        </w:rPr>
        <w:t>控制电源功能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充电机应从交流电源进线断路器输入端取电为辅助控制回路供电，并具备独立的开关控制与保护功能。</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3.1.3.6</w:t>
      </w:r>
      <w:r>
        <w:rPr>
          <w:rFonts w:hint="eastAsia" w:ascii="仿宋" w:hAnsi="仿宋" w:eastAsia="仿宋" w:cs="仿宋"/>
          <w:b/>
          <w:sz w:val="21"/>
          <w:szCs w:val="21"/>
        </w:rPr>
        <w:t>计量功能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充电机应具有对每个充电接口输出电能进行计量的功能。电能计量装置应符合国家计量器具检定相关要求，并通过湖州市场监督管理局计量强制检定。直流电能表应满足Q/GDW 1825-2013《直流电能表技术规范》、JJG 842-1993《直流电能表检定规程》和GB/T 29318-2012《电动汽车非车载充电机电能计量》的检定要求，直流分流器应满足JJG1069-2011《直流分流器检定规程》的检定要求。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电能计量装置应具备RS485接口，通信应接入计费控制单元，通信协议应遵循《DL/T 645-2007多功能电能表通信协议》技术要求。</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3.1.3.7</w:t>
      </w:r>
      <w:r>
        <w:rPr>
          <w:rFonts w:hint="eastAsia" w:ascii="仿宋" w:hAnsi="仿宋" w:eastAsia="仿宋" w:cs="仿宋"/>
          <w:b/>
          <w:sz w:val="21"/>
          <w:szCs w:val="21"/>
        </w:rPr>
        <w:t>读卡功能（按具体项目设计要求）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充电机应配置CPU卡读卡器，感应距离不小于4CM，支持ISO 14443协议，读卡器应具备RS232接口，能够与控制单元进行通信，通讯响应时间不大于500ms，工作电压：5V，最大功耗：≤700mW，自复位。</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3.1.3.8</w:t>
      </w:r>
      <w:r>
        <w:rPr>
          <w:rFonts w:hint="eastAsia" w:ascii="仿宋" w:hAnsi="仿宋" w:eastAsia="仿宋" w:cs="仿宋"/>
          <w:b/>
          <w:sz w:val="21"/>
          <w:szCs w:val="21"/>
        </w:rPr>
        <w:t>显示及输入功能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充电机应配置输入和显示设备，采用触摸彩屏模式，尺寸为7 英寸，分辨率 800*480，色位24位色， RGB接口、4 线电阻触摸屏，4 线背光电源，亮度≥500nit，寿命大于 50000Hrs，视角范围（上下左右）：（70/50/70/70）度，功耗3W，工作温度：-20℃~70℃，正面防护等级IP65，显示信息字符清晰、完整，不依靠环境光源即可辨认。能显示充电电能量、单价及付费金额。</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3.1.3.9</w:t>
      </w:r>
      <w:r>
        <w:rPr>
          <w:rFonts w:hint="eastAsia" w:ascii="仿宋" w:hAnsi="仿宋" w:eastAsia="仿宋" w:cs="仿宋"/>
          <w:b/>
          <w:sz w:val="21"/>
          <w:szCs w:val="21"/>
        </w:rPr>
        <w:t>平台接入</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充电设施应接入甲方指定平台，确保充电设备与平台安全可靠交互，满足充电运营和管理需求。设备可根据甲方要求，实现单桩多种计费模型并存使用，支持VIN码识别充电。</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3.1.3.10</w:t>
      </w:r>
      <w:r>
        <w:rPr>
          <w:rFonts w:hint="eastAsia" w:ascii="仿宋" w:hAnsi="仿宋" w:eastAsia="仿宋" w:cs="仿宋"/>
          <w:b/>
          <w:sz w:val="21"/>
          <w:szCs w:val="21"/>
        </w:rPr>
        <w:t>耐气候环境要求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（1）防护等级</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充电机的柜体和桩体防护等级不应低于GB 4208-2008中IP54（室外）的规定。</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（2）三防（防潮湿，防霉变，防盐雾）保护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充电机内印刷线路板、接插件等电路应进行防潮湿、防霉变、防盐雾处理。</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（3）防锈(防氧化)保护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充电机铁质外壳和暴露在外的铁质支架、零件应采取双层防锈措施，非铁质的金属外壳也应具有防氧化保护膜或进行防氧化处理。</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充电机柜体和桩体应加装防尘网。</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（4）防风保护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充电机应能承受GB/T 4797.5-2008中规定的不同地区最大风速的侵袭。</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3.1.3.11</w:t>
      </w:r>
      <w:r>
        <w:rPr>
          <w:rFonts w:hint="eastAsia" w:ascii="仿宋" w:hAnsi="仿宋" w:eastAsia="仿宋" w:cs="仿宋"/>
          <w:b/>
          <w:sz w:val="21"/>
          <w:szCs w:val="21"/>
        </w:rPr>
        <w:t>防护要求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（1）允许温度</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a)</w:t>
      </w:r>
      <w:r>
        <w:rPr>
          <w:rFonts w:hint="eastAsia" w:ascii="仿宋" w:hAnsi="仿宋" w:eastAsia="仿宋" w:cs="仿宋"/>
          <w:sz w:val="21"/>
          <w:szCs w:val="21"/>
        </w:rPr>
        <w:tab/>
      </w:r>
      <w:r>
        <w:rPr>
          <w:rFonts w:hint="eastAsia" w:ascii="仿宋" w:hAnsi="仿宋" w:eastAsia="仿宋" w:cs="仿宋"/>
          <w:sz w:val="21"/>
          <w:szCs w:val="21"/>
        </w:rPr>
        <w:t>在40℃环境温度下，充电机可用手接触部分允许的最高温度应为：</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——金属部分，50℃；</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——非金属部分，60℃。</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b)</w:t>
      </w:r>
      <w:r>
        <w:rPr>
          <w:rFonts w:hint="eastAsia" w:ascii="仿宋" w:hAnsi="仿宋" w:eastAsia="仿宋" w:cs="仿宋"/>
          <w:sz w:val="21"/>
          <w:szCs w:val="21"/>
        </w:rPr>
        <w:tab/>
      </w:r>
      <w:r>
        <w:rPr>
          <w:rFonts w:hint="eastAsia" w:ascii="仿宋" w:hAnsi="仿宋" w:eastAsia="仿宋" w:cs="仿宋"/>
          <w:sz w:val="21"/>
          <w:szCs w:val="21"/>
        </w:rPr>
        <w:t>可以用手接触但不必紧握的部分，在同样条件下允许的最高温度应为：</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——金属部分，60℃；</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——非金属部分，85℃。</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（2）电击防护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充电机的电击防护应符合GB/T 18487.1-2015中第7章的要求。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（3）电气间隙和爬电距离</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充电机的电气间隙和爬电距离应符合表1的规定。</w:t>
      </w:r>
    </w:p>
    <w:p>
      <w:pPr>
        <w:ind w:firstLine="420" w:firstLineChars="200"/>
        <w:rPr>
          <w:rFonts w:hint="eastAsia" w:ascii="仿宋" w:hAnsi="仿宋" w:eastAsia="仿宋" w:cs="仿宋"/>
          <w:sz w:val="21"/>
          <w:szCs w:val="21"/>
        </w:rPr>
      </w:pPr>
    </w:p>
    <w:p>
      <w:pPr>
        <w:pStyle w:val="13"/>
        <w:tabs>
          <w:tab w:val="clear" w:pos="315"/>
        </w:tabs>
        <w:spacing w:beforeLines="0" w:afterLines="0"/>
        <w:ind w:left="0" w:firstLine="0"/>
        <w:rPr>
          <w:rFonts w:hint="eastAsia" w:ascii="仿宋" w:hAnsi="仿宋" w:eastAsia="仿宋" w:cs="仿宋"/>
          <w:sz w:val="21"/>
          <w:szCs w:val="21"/>
        </w:rPr>
      </w:pPr>
      <w:r>
        <w:rPr>
          <w:rFonts w:hint="eastAsia" w:ascii="仿宋" w:hAnsi="仿宋" w:eastAsia="仿宋" w:cs="仿宋"/>
          <w:sz w:val="21"/>
          <w:szCs w:val="21"/>
        </w:rPr>
        <w:t>表1电气间隙和爬电距离</w:t>
      </w:r>
    </w:p>
    <w:tbl>
      <w:tblPr>
        <w:tblStyle w:val="10"/>
        <w:tblW w:w="911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85"/>
        <w:gridCol w:w="2893"/>
        <w:gridCol w:w="30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3185" w:type="dxa"/>
            <w:tcBorders>
              <w:top w:val="single" w:color="auto" w:sz="8" w:space="0"/>
              <w:bottom w:val="single" w:color="auto" w:sz="8" w:space="0"/>
            </w:tcBorders>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额定绝缘电压Ui（V）</w:t>
            </w:r>
          </w:p>
        </w:tc>
        <w:tc>
          <w:tcPr>
            <w:tcW w:w="2893" w:type="dxa"/>
            <w:tcBorders>
              <w:top w:val="single" w:color="auto" w:sz="8" w:space="0"/>
              <w:bottom w:val="single" w:color="auto" w:sz="8" w:space="0"/>
            </w:tcBorders>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电气间隙（mm）</w:t>
            </w:r>
          </w:p>
        </w:tc>
        <w:tc>
          <w:tcPr>
            <w:tcW w:w="3040" w:type="dxa"/>
            <w:tcBorders>
              <w:top w:val="single" w:color="auto" w:sz="8" w:space="0"/>
              <w:bottom w:val="single" w:color="auto" w:sz="8" w:space="0"/>
            </w:tcBorders>
            <w:noWrap w:val="0"/>
            <w:vAlign w:val="center"/>
          </w:tcPr>
          <w:p>
            <w:pPr>
              <w:widowControl/>
              <w:jc w:val="center"/>
              <w:rPr>
                <w:rFonts w:hint="eastAsia" w:ascii="仿宋" w:hAnsi="仿宋" w:eastAsia="仿宋" w:cs="仿宋"/>
                <w:kern w:val="0"/>
                <w:sz w:val="21"/>
                <w:szCs w:val="21"/>
              </w:rPr>
            </w:pPr>
            <w:r>
              <w:rPr>
                <w:rFonts w:hint="eastAsia" w:ascii="仿宋" w:hAnsi="仿宋" w:eastAsia="仿宋" w:cs="仿宋"/>
                <w:kern w:val="0"/>
                <w:sz w:val="21"/>
                <w:szCs w:val="21"/>
              </w:rPr>
              <w:t>爬电距离（mm）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4" w:hRule="atLeast"/>
        </w:trPr>
        <w:tc>
          <w:tcPr>
            <w:tcW w:w="3185"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i/>
                <w:sz w:val="21"/>
                <w:szCs w:val="21"/>
              </w:rPr>
              <w:t>Ui</w:t>
            </w:r>
            <w:r>
              <w:rPr>
                <w:rFonts w:hint="eastAsia" w:ascii="仿宋" w:hAnsi="仿宋" w:eastAsia="仿宋" w:cs="仿宋"/>
                <w:sz w:val="21"/>
                <w:szCs w:val="21"/>
              </w:rPr>
              <w:t>≤60</w:t>
            </w:r>
          </w:p>
        </w:tc>
        <w:tc>
          <w:tcPr>
            <w:tcW w:w="2893"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3.0</w:t>
            </w:r>
          </w:p>
        </w:tc>
        <w:tc>
          <w:tcPr>
            <w:tcW w:w="3040"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3185"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60＜</w:t>
            </w:r>
            <w:r>
              <w:rPr>
                <w:rFonts w:hint="eastAsia" w:ascii="仿宋" w:hAnsi="仿宋" w:eastAsia="仿宋" w:cs="仿宋"/>
                <w:i/>
                <w:sz w:val="21"/>
                <w:szCs w:val="21"/>
              </w:rPr>
              <w:t>Ui</w:t>
            </w:r>
            <w:r>
              <w:rPr>
                <w:rFonts w:hint="eastAsia" w:ascii="仿宋" w:hAnsi="仿宋" w:eastAsia="仿宋" w:cs="仿宋"/>
                <w:sz w:val="21"/>
                <w:szCs w:val="21"/>
              </w:rPr>
              <w:t>≤300</w:t>
            </w:r>
          </w:p>
        </w:tc>
        <w:tc>
          <w:tcPr>
            <w:tcW w:w="2893"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5.0</w:t>
            </w:r>
          </w:p>
        </w:tc>
        <w:tc>
          <w:tcPr>
            <w:tcW w:w="3040"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7" w:hRule="atLeast"/>
        </w:trPr>
        <w:tc>
          <w:tcPr>
            <w:tcW w:w="3185"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300＜</w:t>
            </w:r>
            <w:r>
              <w:rPr>
                <w:rFonts w:hint="eastAsia" w:ascii="仿宋" w:hAnsi="仿宋" w:eastAsia="仿宋" w:cs="仿宋"/>
                <w:i/>
                <w:sz w:val="21"/>
                <w:szCs w:val="21"/>
              </w:rPr>
              <w:t>Ui</w:t>
            </w:r>
            <w:r>
              <w:rPr>
                <w:rFonts w:hint="eastAsia" w:ascii="仿宋" w:hAnsi="仿宋" w:eastAsia="仿宋" w:cs="仿宋"/>
                <w:sz w:val="21"/>
                <w:szCs w:val="21"/>
              </w:rPr>
              <w:t>≤700</w:t>
            </w:r>
          </w:p>
        </w:tc>
        <w:tc>
          <w:tcPr>
            <w:tcW w:w="2893"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8.0</w:t>
            </w:r>
          </w:p>
        </w:tc>
        <w:tc>
          <w:tcPr>
            <w:tcW w:w="3040" w:type="dxa"/>
            <w:tcBorders>
              <w:top w:val="single" w:color="auto" w:sz="8" w:space="0"/>
              <w:bottom w:val="single" w:color="auto" w:sz="8" w:space="0"/>
            </w:tcBorders>
            <w:noWrap w:val="0"/>
            <w:vAlign w:val="center"/>
          </w:tcPr>
          <w:p>
            <w:pPr>
              <w:widowControl/>
              <w:jc w:val="center"/>
              <w:rPr>
                <w:rFonts w:hint="eastAsia" w:ascii="仿宋" w:hAnsi="仿宋" w:eastAsia="仿宋" w:cs="仿宋"/>
                <w:sz w:val="21"/>
                <w:szCs w:val="21"/>
              </w:rPr>
            </w:pPr>
            <w:r>
              <w:rPr>
                <w:rFonts w:hint="eastAsia" w:ascii="仿宋" w:hAnsi="仿宋" w:eastAsia="仿宋" w:cs="仿宋"/>
                <w:sz w:val="21"/>
                <w:szCs w:val="21"/>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9118" w:type="dxa"/>
            <w:gridSpan w:val="3"/>
            <w:tcBorders>
              <w:top w:val="single" w:color="auto" w:sz="8" w:space="0"/>
              <w:bottom w:val="single" w:color="auto" w:sz="8" w:space="0"/>
            </w:tcBorders>
            <w:noWrap w:val="0"/>
            <w:vAlign w:val="center"/>
          </w:tcPr>
          <w:p>
            <w:pPr>
              <w:widowControl/>
              <w:jc w:val="left"/>
              <w:rPr>
                <w:rFonts w:hint="eastAsia" w:ascii="仿宋" w:hAnsi="仿宋" w:eastAsia="仿宋" w:cs="仿宋"/>
                <w:sz w:val="21"/>
                <w:szCs w:val="21"/>
              </w:rPr>
            </w:pPr>
            <w:r>
              <w:rPr>
                <w:rFonts w:hint="eastAsia" w:ascii="仿宋" w:hAnsi="仿宋" w:eastAsia="仿宋" w:cs="仿宋"/>
                <w:sz w:val="21"/>
                <w:szCs w:val="21"/>
              </w:rPr>
              <w:t>注1：当主电路与控制电路或辅助电路的额定绝缘电压不一致时，其电气间隙和爬电距离可分别按其额定值选取。</w:t>
            </w:r>
          </w:p>
          <w:p>
            <w:pPr>
              <w:widowControl/>
              <w:jc w:val="left"/>
              <w:rPr>
                <w:rFonts w:hint="eastAsia" w:ascii="仿宋" w:hAnsi="仿宋" w:eastAsia="仿宋" w:cs="仿宋"/>
                <w:sz w:val="21"/>
                <w:szCs w:val="21"/>
              </w:rPr>
            </w:pPr>
            <w:r>
              <w:rPr>
                <w:rFonts w:hint="eastAsia" w:ascii="仿宋" w:hAnsi="仿宋" w:eastAsia="仿宋" w:cs="仿宋"/>
                <w:sz w:val="21"/>
                <w:szCs w:val="21"/>
              </w:rPr>
              <w:t>注2：具有不同额定值主电路或控制电路导电部分之间的电气间隙与爬电距离，应按最高额定绝缘电压选取。</w:t>
            </w:r>
          </w:p>
          <w:p>
            <w:pPr>
              <w:widowControl/>
              <w:jc w:val="left"/>
              <w:rPr>
                <w:rFonts w:hint="eastAsia" w:ascii="仿宋" w:hAnsi="仿宋" w:eastAsia="仿宋" w:cs="仿宋"/>
                <w:sz w:val="21"/>
                <w:szCs w:val="21"/>
              </w:rPr>
            </w:pPr>
            <w:r>
              <w:rPr>
                <w:rFonts w:hint="eastAsia" w:ascii="仿宋" w:hAnsi="仿宋" w:eastAsia="仿宋" w:cs="仿宋"/>
                <w:sz w:val="21"/>
                <w:szCs w:val="21"/>
              </w:rPr>
              <w:t>注3：小母线、汇流排或不同级的裸露的带电导体之间，以及裸露的带电导体与未经绝缘的不带电导体之间的电气间隙不小于12mm，爬电距离不小于20mm。</w:t>
            </w:r>
          </w:p>
        </w:tc>
      </w:tr>
    </w:tbl>
    <w:p>
      <w:pPr>
        <w:ind w:firstLine="420" w:firstLineChars="200"/>
        <w:rPr>
          <w:rFonts w:hint="eastAsia" w:ascii="仿宋" w:hAnsi="仿宋" w:eastAsia="仿宋" w:cs="仿宋"/>
          <w:sz w:val="21"/>
          <w:szCs w:val="21"/>
        </w:rPr>
      </w:pPr>
      <w:r>
        <w:rPr>
          <w:rFonts w:hint="eastAsia" w:ascii="仿宋" w:hAnsi="仿宋" w:eastAsia="仿宋" w:cs="仿宋"/>
          <w:sz w:val="21"/>
          <w:szCs w:val="21"/>
        </w:rPr>
        <w:t>（4）接地要求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充电机的接地要求应能满足以下的规定：</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a)</w:t>
      </w:r>
      <w:r>
        <w:rPr>
          <w:rFonts w:hint="eastAsia" w:ascii="仿宋" w:hAnsi="仿宋" w:eastAsia="仿宋" w:cs="仿宋"/>
          <w:sz w:val="21"/>
          <w:szCs w:val="21"/>
        </w:rPr>
        <w:tab/>
      </w:r>
      <w:r>
        <w:rPr>
          <w:rFonts w:hint="eastAsia" w:ascii="仿宋" w:hAnsi="仿宋" w:eastAsia="仿宋" w:cs="仿宋"/>
          <w:sz w:val="21"/>
          <w:szCs w:val="21"/>
        </w:rPr>
        <w:t>充电机金属壳体应设置接地螺栓，其直径不得小于6mm，并应有接地标志。</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b)</w:t>
      </w:r>
      <w:r>
        <w:rPr>
          <w:rFonts w:hint="eastAsia" w:ascii="仿宋" w:hAnsi="仿宋" w:eastAsia="仿宋" w:cs="仿宋"/>
          <w:sz w:val="21"/>
          <w:szCs w:val="21"/>
        </w:rPr>
        <w:tab/>
      </w:r>
      <w:r>
        <w:rPr>
          <w:rFonts w:hint="eastAsia" w:ascii="仿宋" w:hAnsi="仿宋" w:eastAsia="仿宋" w:cs="仿宋"/>
          <w:sz w:val="21"/>
          <w:szCs w:val="21"/>
        </w:rPr>
        <w:t>所有作为隔离带电导体的金属隔板、电气元件的金属外壳以及金属手柄等均应有效接地，连续性电阻不应大于0.1Ω。</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c)</w:t>
      </w:r>
      <w:r>
        <w:rPr>
          <w:rFonts w:hint="eastAsia" w:ascii="仿宋" w:hAnsi="仿宋" w:eastAsia="仿宋" w:cs="仿宋"/>
          <w:sz w:val="21"/>
          <w:szCs w:val="21"/>
        </w:rPr>
        <w:tab/>
      </w:r>
      <w:r>
        <w:rPr>
          <w:rFonts w:hint="eastAsia" w:ascii="仿宋" w:hAnsi="仿宋" w:eastAsia="仿宋" w:cs="仿宋"/>
          <w:sz w:val="21"/>
          <w:szCs w:val="21"/>
        </w:rPr>
        <w:t>充电机的门、盖板、覆板和类似部件，应采用保护导体将这些部件和充电机主体框架连接，此保护导体的截面积不得小于2.5mm</w:t>
      </w:r>
      <w:r>
        <w:rPr>
          <w:rFonts w:hint="eastAsia" w:ascii="仿宋" w:hAnsi="仿宋" w:eastAsia="仿宋" w:cs="仿宋"/>
          <w:sz w:val="21"/>
          <w:szCs w:val="21"/>
          <w:vertAlign w:val="superscript"/>
        </w:rPr>
        <w:t>2</w:t>
      </w:r>
      <w:r>
        <w:rPr>
          <w:rFonts w:hint="eastAsia" w:ascii="仿宋" w:hAnsi="仿宋" w:eastAsia="仿宋" w:cs="仿宋"/>
          <w:sz w:val="21"/>
          <w:szCs w:val="21"/>
        </w:rPr>
        <w:t>。</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d)</w:t>
      </w:r>
      <w:r>
        <w:rPr>
          <w:rFonts w:hint="eastAsia" w:ascii="仿宋" w:hAnsi="仿宋" w:eastAsia="仿宋" w:cs="仿宋"/>
          <w:sz w:val="21"/>
          <w:szCs w:val="21"/>
        </w:rPr>
        <w:tab/>
      </w:r>
      <w:r>
        <w:rPr>
          <w:rFonts w:hint="eastAsia" w:ascii="仿宋" w:hAnsi="仿宋" w:eastAsia="仿宋" w:cs="仿宋"/>
          <w:sz w:val="21"/>
          <w:szCs w:val="21"/>
        </w:rPr>
        <w:t>接地母线和柜体之间的所有连接应躲开（或穿透绝缘层）喷漆层，以保证有效的电气连接。</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3.1.3.12</w:t>
      </w:r>
      <w:r>
        <w:rPr>
          <w:rFonts w:hint="eastAsia" w:ascii="仿宋" w:hAnsi="仿宋" w:eastAsia="仿宋" w:cs="仿宋"/>
          <w:b/>
          <w:sz w:val="21"/>
          <w:szCs w:val="21"/>
        </w:rPr>
        <w:t>绝缘性能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（1）绝缘电阻</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用开路电压为表2规定电压的测试仪器测量，充电机非电气连接的各带电回路之间、各独立带电回路与地（金属外壳）之间绝缘电阻不应小于10MΩ。</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（2）工频耐压</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充电机非电气连接的各带电回路之间、各独立带电回路与地（金属外壳）之间，按其工作电压应能承受表2所规定历时1 min的工频耐压试验（也可采用直流电压，试验电压为交流电压有效值的1.4倍）。试验过程中应无绝缘击穿和闪络现象。</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（3）冲击电压</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充电机各带电回路、各带电电路对地（金属外壳）之间，按其工作电压应能承受表2所规定标准雷电波的短时冲击电压试验。试验过程中应无击穿放电。</w:t>
      </w:r>
    </w:p>
    <w:p>
      <w:pPr>
        <w:pStyle w:val="13"/>
        <w:tabs>
          <w:tab w:val="clear" w:pos="315"/>
        </w:tabs>
        <w:spacing w:beforeLines="0" w:afterLines="0"/>
        <w:ind w:left="0" w:firstLine="0"/>
        <w:rPr>
          <w:rFonts w:hint="eastAsia" w:ascii="仿宋" w:hAnsi="仿宋" w:eastAsia="仿宋" w:cs="仿宋"/>
          <w:sz w:val="21"/>
          <w:szCs w:val="21"/>
        </w:rPr>
      </w:pPr>
      <w:r>
        <w:rPr>
          <w:rFonts w:hint="eastAsia" w:ascii="仿宋" w:hAnsi="仿宋" w:eastAsia="仿宋" w:cs="仿宋"/>
          <w:sz w:val="21"/>
          <w:szCs w:val="21"/>
        </w:rPr>
        <w:t>表2 绝缘试验的试验等级</w:t>
      </w:r>
    </w:p>
    <w:tbl>
      <w:tblPr>
        <w:tblStyle w:val="10"/>
        <w:tblW w:w="89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249"/>
        <w:gridCol w:w="2634"/>
        <w:gridCol w:w="2157"/>
        <w:gridCol w:w="1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91" w:hRule="atLeast"/>
          <w:jc w:val="center"/>
        </w:trPr>
        <w:tc>
          <w:tcPr>
            <w:tcW w:w="2249" w:type="dxa"/>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额定绝缘电压Ui（V）</w:t>
            </w:r>
          </w:p>
        </w:tc>
        <w:tc>
          <w:tcPr>
            <w:tcW w:w="2634" w:type="dxa"/>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绝缘电阻测试仪器的电压等级（V）</w:t>
            </w:r>
          </w:p>
        </w:tc>
        <w:tc>
          <w:tcPr>
            <w:tcW w:w="2157" w:type="dxa"/>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工频耐压试验电压（kV）</w:t>
            </w:r>
          </w:p>
        </w:tc>
        <w:tc>
          <w:tcPr>
            <w:tcW w:w="1956" w:type="dxa"/>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冲击耐压试验电压（kV）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2249"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 60</w:t>
            </w:r>
          </w:p>
        </w:tc>
        <w:tc>
          <w:tcPr>
            <w:tcW w:w="2634"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250</w:t>
            </w:r>
          </w:p>
        </w:tc>
        <w:tc>
          <w:tcPr>
            <w:tcW w:w="2157"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1.0(1.4)</w:t>
            </w:r>
          </w:p>
        </w:tc>
        <w:tc>
          <w:tcPr>
            <w:tcW w:w="1956"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9"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60 ＜ U</w:t>
            </w:r>
            <w:r>
              <w:rPr>
                <w:rFonts w:hint="eastAsia" w:ascii="仿宋" w:hAnsi="仿宋" w:eastAsia="仿宋" w:cs="仿宋"/>
                <w:sz w:val="21"/>
                <w:szCs w:val="21"/>
                <w:vertAlign w:val="subscript"/>
              </w:rPr>
              <w:t xml:space="preserve">I </w:t>
            </w:r>
            <w:r>
              <w:rPr>
                <w:rFonts w:hint="eastAsia" w:ascii="仿宋" w:hAnsi="仿宋" w:eastAsia="仿宋" w:cs="仿宋"/>
                <w:sz w:val="21"/>
                <w:szCs w:val="21"/>
              </w:rPr>
              <w:t>≤ 300</w:t>
            </w:r>
          </w:p>
        </w:tc>
        <w:tc>
          <w:tcPr>
            <w:tcW w:w="2634"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500</w:t>
            </w:r>
          </w:p>
        </w:tc>
        <w:tc>
          <w:tcPr>
            <w:tcW w:w="2157"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2.0(2.8)</w:t>
            </w:r>
          </w:p>
        </w:tc>
        <w:tc>
          <w:tcPr>
            <w:tcW w:w="1956"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9"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300 ＜ U</w:t>
            </w:r>
            <w:r>
              <w:rPr>
                <w:rFonts w:hint="eastAsia" w:ascii="仿宋" w:hAnsi="仿宋" w:eastAsia="仿宋" w:cs="仿宋"/>
                <w:sz w:val="21"/>
                <w:szCs w:val="21"/>
                <w:vertAlign w:val="subscript"/>
              </w:rPr>
              <w:t xml:space="preserve">I </w:t>
            </w:r>
            <w:r>
              <w:rPr>
                <w:rFonts w:hint="eastAsia" w:ascii="仿宋" w:hAnsi="仿宋" w:eastAsia="仿宋" w:cs="仿宋"/>
                <w:sz w:val="21"/>
                <w:szCs w:val="21"/>
              </w:rPr>
              <w:t>≤ 700</w:t>
            </w:r>
          </w:p>
        </w:tc>
        <w:tc>
          <w:tcPr>
            <w:tcW w:w="2634"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1000</w:t>
            </w:r>
          </w:p>
        </w:tc>
        <w:tc>
          <w:tcPr>
            <w:tcW w:w="2157"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2.4(3.36)</w:t>
            </w:r>
          </w:p>
        </w:tc>
        <w:tc>
          <w:tcPr>
            <w:tcW w:w="1956"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49"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700 ＜ UI ≤ 950</w:t>
            </w:r>
          </w:p>
        </w:tc>
        <w:tc>
          <w:tcPr>
            <w:tcW w:w="2634"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1000</w:t>
            </w:r>
          </w:p>
        </w:tc>
        <w:tc>
          <w:tcPr>
            <w:tcW w:w="2157"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2×UI +1.0</w:t>
            </w:r>
          </w:p>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(2.8×UI +1.4)</w:t>
            </w:r>
          </w:p>
        </w:tc>
        <w:tc>
          <w:tcPr>
            <w:tcW w:w="1956" w:type="dxa"/>
            <w:noWrap w:val="0"/>
            <w:vAlign w:val="center"/>
          </w:tcPr>
          <w:p>
            <w:pPr>
              <w:autoSpaceDE w:val="0"/>
              <w:autoSpaceDN w:val="0"/>
              <w:adjustRightInd w:val="0"/>
              <w:snapToGrid w:val="0"/>
              <w:spacing w:line="360" w:lineRule="auto"/>
              <w:jc w:val="center"/>
              <w:rPr>
                <w:rFonts w:hint="eastAsia" w:ascii="仿宋" w:hAnsi="仿宋" w:eastAsia="仿宋" w:cs="仿宋"/>
                <w:sz w:val="21"/>
                <w:szCs w:val="21"/>
              </w:rPr>
            </w:pPr>
            <w:r>
              <w:rPr>
                <w:rFonts w:hint="eastAsia" w:ascii="仿宋" w:hAnsi="仿宋" w:eastAsia="仿宋" w:cs="仿宋"/>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55" w:hRule="atLeast"/>
          <w:jc w:val="center"/>
        </w:trPr>
        <w:tc>
          <w:tcPr>
            <w:tcW w:w="8996" w:type="dxa"/>
            <w:gridSpan w:val="4"/>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注：括号内数据为直流介质强度试验值。</w:t>
            </w:r>
          </w:p>
        </w:tc>
      </w:tr>
    </w:tbl>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3.1.3.13</w:t>
      </w:r>
      <w:r>
        <w:rPr>
          <w:rFonts w:hint="eastAsia" w:ascii="仿宋" w:hAnsi="仿宋" w:eastAsia="仿宋" w:cs="仿宋"/>
          <w:b/>
          <w:sz w:val="21"/>
          <w:szCs w:val="21"/>
        </w:rPr>
        <w:t>安全要求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充电机的安全性要求应满足GB/T 18487.1-2015中对应的描述及技术参数要求。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（1）充电机应具备电源输入侧的过压保护和欠压保护。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（2）充电机应具备输出过压保护。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（3）充电机应具备输出过电流和短路保护。</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（4）充电机应具备内部过温保护，当内部温度达到保护值时，采取降功率或停止输出。</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（5）充电机的绝缘检测功能应与车辆绝缘检测功能相配合。</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（6）充电过程中当发生下列情况时，充电机应能在100ms内断开直流输出接触器，且直流输出电压应在1s内下降至60V以下。</w:t>
      </w:r>
    </w:p>
    <w:p>
      <w:pPr>
        <w:ind w:left="420" w:firstLine="420" w:firstLineChars="200"/>
        <w:rPr>
          <w:rFonts w:hint="eastAsia" w:ascii="仿宋" w:hAnsi="仿宋" w:eastAsia="仿宋" w:cs="仿宋"/>
          <w:sz w:val="21"/>
          <w:szCs w:val="21"/>
        </w:rPr>
      </w:pPr>
      <w:r>
        <w:rPr>
          <w:rFonts w:hint="eastAsia" w:ascii="仿宋" w:hAnsi="仿宋" w:eastAsia="仿宋" w:cs="仿宋"/>
          <w:sz w:val="21"/>
          <w:szCs w:val="21"/>
        </w:rPr>
        <w:t>a)</w:t>
      </w:r>
      <w:r>
        <w:rPr>
          <w:rFonts w:hint="eastAsia" w:ascii="仿宋" w:hAnsi="仿宋" w:eastAsia="仿宋" w:cs="仿宋"/>
          <w:sz w:val="21"/>
          <w:szCs w:val="21"/>
        </w:rPr>
        <w:tab/>
      </w:r>
      <w:r>
        <w:rPr>
          <w:rFonts w:hint="eastAsia" w:ascii="仿宋" w:hAnsi="仿宋" w:eastAsia="仿宋" w:cs="仿宋"/>
          <w:sz w:val="21"/>
          <w:szCs w:val="21"/>
        </w:rPr>
        <w:t>启动急停开关；</w:t>
      </w:r>
    </w:p>
    <w:p>
      <w:pPr>
        <w:ind w:left="420" w:firstLine="420" w:firstLineChars="200"/>
        <w:rPr>
          <w:rFonts w:hint="eastAsia" w:ascii="仿宋" w:hAnsi="仿宋" w:eastAsia="仿宋" w:cs="仿宋"/>
          <w:sz w:val="21"/>
          <w:szCs w:val="21"/>
        </w:rPr>
      </w:pPr>
      <w:r>
        <w:rPr>
          <w:rFonts w:hint="eastAsia" w:ascii="仿宋" w:hAnsi="仿宋" w:eastAsia="仿宋" w:cs="仿宋"/>
          <w:sz w:val="21"/>
          <w:szCs w:val="21"/>
        </w:rPr>
        <w:t>b)</w:t>
      </w:r>
      <w:r>
        <w:rPr>
          <w:rFonts w:hint="eastAsia" w:ascii="仿宋" w:hAnsi="仿宋" w:eastAsia="仿宋" w:cs="仿宋"/>
          <w:sz w:val="21"/>
          <w:szCs w:val="21"/>
        </w:rPr>
        <w:tab/>
      </w:r>
      <w:r>
        <w:rPr>
          <w:rFonts w:hint="eastAsia" w:ascii="仿宋" w:hAnsi="仿宋" w:eastAsia="仿宋" w:cs="仿宋"/>
          <w:sz w:val="21"/>
          <w:szCs w:val="21"/>
        </w:rPr>
        <w:t>控制导引故障。</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（7）充电机在启动充电时应人工确认启动。</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（8）充电机应具备软启动功能，软启动时间为3s～8s。</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（9）充电机应具备限制冲击电流功能，冲击电流不应超过额定输入电流的110%。</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（10）充电机应具备电池反接保护功能。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（11）充电机在自动充电前，应具有电池电压检测功能。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（12）在充电过程中，充电机应具有明显的状态指示和文字提示，防止人员误操作。</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13）充电机在充电过程中应具有防止充电连接器意外脱落的锁止功能，该锁止功能应符合GB/T20234.1的相关要求。车辆插头端应安装机械锁止装置，供电设备应能判断机械锁是否可靠锁止。车辆插头应安装电子锁止装置，电子锁处于锁止位置时，机械锁应无法操作，供电设备应能判断电子锁是否可靠锁止。当机械锁或电子锁未可靠锁止时，供电设备应停止充电或不启动充电。直流充电车辆接口锁止装置工作示例参见GB/T18487.1-2015附录C。</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（14）充电机应具备防止动力电池电流倒灌功能。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15）充电机应具备预充电功能。当充电机检测到电动汽车直流接触器闭合后，充电机应检测电池端电压；充电机检测到电池端电压后需进行预充，将功率模块输出电压升到与电池端电压测量值之差小于10V后，方可闭合充电机输出接触器。</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（16）充电机在每个充电周期内进行接触器触点烧结检测。当检测到接触器触点出现粘连的情况后，充电机不得继续工作。</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（17）充电机必须保证充电机输出接触器闭合发生在车辆直流充电接触器闭合之后，其时间间隔不得低于500ms。</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（18）充电机在充电停止状态下，应保证直流输出回路处于断开状态。</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3.1.3.14</w:t>
      </w:r>
      <w:r>
        <w:rPr>
          <w:rFonts w:hint="eastAsia" w:ascii="仿宋" w:hAnsi="仿宋" w:eastAsia="仿宋" w:cs="仿宋"/>
          <w:b/>
          <w:sz w:val="21"/>
          <w:szCs w:val="21"/>
        </w:rPr>
        <w:t>充电输出要求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（1）输出电压误差</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在恒压状态下，直流输出电压设定在5.1（2）规定的相应调节范围内，充电机的输出电压误差不应超过±0.5％。</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（2）输出电流误差</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在恒流状态下，输出直流电流设定在5.1（2）规定的额定值的20%～100%范围内，在设定的直流输出电流≥30A时，充电机的输出电流误差不应超过±1%；在设定的输出电流&lt;30A时，充电机的输出电流误差不应超过±0.3A。</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（3）稳压精度</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当交流电源电压在额定值的±15%范围内变化，直流输出电流在5.1（2）规定的额定值的0～100%范围内变化时，输出直流电压在5.1（2）规定的相应调节范围内任一数值上，充电机的输出电压稳压精度不应超过±0.5%。</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（4）稳流精度</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当交流电源电压在额定值的±15%范围内变化，直流输出电压在5.1（2）规定的相应范围内变化时，直流输出电流在5.1（2）规定的额定值的20%～100%范围内任一数值上，充电机的输出电流稳流精度不应超过±1%。</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（5）纹波系数</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当交流电源电压在额定值的±15%范围内变化，直流输出电流在5.1（2）规定的额定值的0～100%范围内变化时，直流输出电压在5.1（2）规定的相应调节范围任一数值上，充电机的输出纹波有效值系数不应超过±0.5%，纹波峰值系数不应超过±1%。</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（6）限压、限流特性</w:t>
      </w:r>
    </w:p>
    <w:p>
      <w:pPr>
        <w:ind w:left="280" w:leftChars="100" w:firstLine="420" w:firstLineChars="200"/>
        <w:rPr>
          <w:rFonts w:hint="eastAsia" w:ascii="仿宋" w:hAnsi="仿宋" w:eastAsia="仿宋" w:cs="仿宋"/>
          <w:sz w:val="21"/>
          <w:szCs w:val="21"/>
        </w:rPr>
      </w:pPr>
      <w:r>
        <w:rPr>
          <w:rFonts w:hint="eastAsia" w:ascii="仿宋" w:hAnsi="仿宋" w:eastAsia="仿宋" w:cs="仿宋"/>
          <w:sz w:val="21"/>
          <w:szCs w:val="21"/>
        </w:rPr>
        <w:t>a)</w:t>
      </w:r>
      <w:r>
        <w:rPr>
          <w:rFonts w:hint="eastAsia" w:ascii="仿宋" w:hAnsi="仿宋" w:eastAsia="仿宋" w:cs="仿宋"/>
          <w:sz w:val="21"/>
          <w:szCs w:val="21"/>
        </w:rPr>
        <w:tab/>
      </w:r>
      <w:r>
        <w:rPr>
          <w:rFonts w:hint="eastAsia" w:ascii="仿宋" w:hAnsi="仿宋" w:eastAsia="仿宋" w:cs="仿宋"/>
          <w:sz w:val="21"/>
          <w:szCs w:val="21"/>
        </w:rPr>
        <w:t>充电机在恒流状态下运行时，当直流输出电压超过限压整定值时，应能立即进入恒压充电状态，自动限制其输出电压的增加。</w:t>
      </w:r>
    </w:p>
    <w:p>
      <w:pPr>
        <w:ind w:left="280" w:leftChars="100" w:firstLine="420" w:firstLineChars="200"/>
        <w:rPr>
          <w:rFonts w:hint="eastAsia" w:ascii="仿宋" w:hAnsi="仿宋" w:eastAsia="仿宋" w:cs="仿宋"/>
          <w:sz w:val="21"/>
          <w:szCs w:val="21"/>
        </w:rPr>
      </w:pPr>
      <w:r>
        <w:rPr>
          <w:rFonts w:hint="eastAsia" w:ascii="仿宋" w:hAnsi="仿宋" w:eastAsia="仿宋" w:cs="仿宋"/>
          <w:sz w:val="21"/>
          <w:szCs w:val="21"/>
        </w:rPr>
        <w:t>b)</w:t>
      </w:r>
      <w:r>
        <w:rPr>
          <w:rFonts w:hint="eastAsia" w:ascii="仿宋" w:hAnsi="仿宋" w:eastAsia="仿宋" w:cs="仿宋"/>
          <w:sz w:val="21"/>
          <w:szCs w:val="21"/>
        </w:rPr>
        <w:tab/>
      </w:r>
      <w:r>
        <w:rPr>
          <w:rFonts w:hint="eastAsia" w:ascii="仿宋" w:hAnsi="仿宋" w:eastAsia="仿宋" w:cs="仿宋"/>
          <w:sz w:val="21"/>
          <w:szCs w:val="21"/>
        </w:rPr>
        <w:t>充电机在恒压状态下运行时，当直流输出电流超过限流整定值时，应能立即进入限流充电状态，自动限制其输出电流的增加。</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（7）输出响应要求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在充电阶段，车辆向充电机实时发送电池充电需求参数，充电机应最长在1s以内将充电电压和充电电流调整到与车辆发送的电池充电需求命令值相一致，充电机根据电池充电需求参数实时调整充电电压和充电电流。</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3.1.3.15</w:t>
      </w:r>
      <w:r>
        <w:rPr>
          <w:rFonts w:hint="eastAsia" w:ascii="仿宋" w:hAnsi="仿宋" w:eastAsia="仿宋" w:cs="仿宋"/>
          <w:b/>
          <w:sz w:val="21"/>
          <w:szCs w:val="21"/>
        </w:rPr>
        <w:t>均流不平衡度</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当充电机的多个高频开关整流模块并机工作时，各模块应能按比例均分负载，当各模块平均输出电流为50％～100％的额定电流值时，其均流不平衡度不应超过±5％。</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3.1.3.16</w:t>
      </w:r>
      <w:r>
        <w:rPr>
          <w:rFonts w:hint="eastAsia" w:ascii="仿宋" w:hAnsi="仿宋" w:eastAsia="仿宋" w:cs="仿宋"/>
          <w:b/>
          <w:sz w:val="21"/>
          <w:szCs w:val="21"/>
        </w:rPr>
        <w:t>待机功耗</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在额定输入电压下，当充电机处于待机状态时，其整机功耗不应大于额定输出功率的0.15％。</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3.1.3.17</w:t>
      </w:r>
      <w:r>
        <w:rPr>
          <w:rFonts w:hint="eastAsia" w:ascii="仿宋" w:hAnsi="仿宋" w:eastAsia="仿宋" w:cs="仿宋"/>
          <w:b/>
          <w:sz w:val="21"/>
          <w:szCs w:val="21"/>
        </w:rPr>
        <w:t>效率和功率因数</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在额定输入电压及直流输出电压限制在5.1（2）规定的相应电压，调节输出电流使输出功率在20%～100%之间变化，充电机效率和功率因数不应低于表3的要求。</w:t>
      </w:r>
    </w:p>
    <w:p>
      <w:pPr>
        <w:widowControl/>
        <w:spacing w:before="156" w:beforeLines="50" w:after="156" w:afterLines="50"/>
        <w:jc w:val="center"/>
        <w:rPr>
          <w:rFonts w:hint="eastAsia" w:ascii="仿宋" w:hAnsi="仿宋" w:eastAsia="仿宋" w:cs="仿宋"/>
          <w:kern w:val="0"/>
          <w:sz w:val="21"/>
          <w:szCs w:val="21"/>
        </w:rPr>
      </w:pPr>
      <w:r>
        <w:rPr>
          <w:rFonts w:hint="eastAsia" w:ascii="仿宋" w:hAnsi="仿宋" w:eastAsia="仿宋" w:cs="仿宋"/>
          <w:kern w:val="0"/>
          <w:sz w:val="21"/>
          <w:szCs w:val="21"/>
        </w:rPr>
        <w:t>表3  充电机效率和功率因数</w:t>
      </w:r>
    </w:p>
    <w:tbl>
      <w:tblPr>
        <w:tblStyle w:val="10"/>
        <w:tblW w:w="88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79"/>
        <w:gridCol w:w="3215"/>
        <w:gridCol w:w="24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3179" w:type="dxa"/>
            <w:noWrap w:val="0"/>
            <w:vAlign w:val="center"/>
          </w:tcPr>
          <w:p>
            <w:pPr>
              <w:widowControl/>
              <w:tabs>
                <w:tab w:val="center" w:pos="4201"/>
                <w:tab w:val="right" w:leader="dot" w:pos="9298"/>
              </w:tabs>
              <w:autoSpaceDE w:val="0"/>
              <w:autoSpaceDN w:val="0"/>
              <w:jc w:val="center"/>
              <w:rPr>
                <w:rFonts w:hint="eastAsia" w:ascii="仿宋" w:hAnsi="仿宋" w:eastAsia="仿宋" w:cs="仿宋"/>
                <w:kern w:val="0"/>
                <w:sz w:val="21"/>
                <w:szCs w:val="21"/>
              </w:rPr>
            </w:pPr>
            <w:r>
              <w:rPr>
                <w:rFonts w:hint="eastAsia" w:ascii="仿宋" w:hAnsi="仿宋" w:eastAsia="仿宋" w:cs="仿宋"/>
                <w:kern w:val="0"/>
                <w:sz w:val="21"/>
                <w:szCs w:val="21"/>
              </w:rPr>
              <w:t>输出功率</w:t>
            </w:r>
          </w:p>
        </w:tc>
        <w:tc>
          <w:tcPr>
            <w:tcW w:w="3215" w:type="dxa"/>
            <w:tcBorders>
              <w:right w:val="single" w:color="auto" w:sz="4" w:space="0"/>
            </w:tcBorders>
            <w:noWrap w:val="0"/>
            <w:vAlign w:val="center"/>
          </w:tcPr>
          <w:p>
            <w:pPr>
              <w:widowControl/>
              <w:tabs>
                <w:tab w:val="center" w:pos="4201"/>
                <w:tab w:val="right" w:leader="dot" w:pos="9298"/>
              </w:tabs>
              <w:autoSpaceDE w:val="0"/>
              <w:autoSpaceDN w:val="0"/>
              <w:jc w:val="center"/>
              <w:rPr>
                <w:rFonts w:hint="eastAsia" w:ascii="仿宋" w:hAnsi="仿宋" w:eastAsia="仿宋" w:cs="仿宋"/>
                <w:kern w:val="0"/>
                <w:sz w:val="21"/>
                <w:szCs w:val="21"/>
              </w:rPr>
            </w:pPr>
            <w:r>
              <w:rPr>
                <w:rFonts w:hint="eastAsia" w:ascii="仿宋" w:hAnsi="仿宋" w:eastAsia="仿宋" w:cs="仿宋"/>
                <w:kern w:val="0"/>
                <w:sz w:val="21"/>
                <w:szCs w:val="21"/>
              </w:rPr>
              <w:t>功率因数</w:t>
            </w:r>
          </w:p>
        </w:tc>
        <w:tc>
          <w:tcPr>
            <w:tcW w:w="2467" w:type="dxa"/>
            <w:tcBorders>
              <w:left w:val="single" w:color="auto" w:sz="4" w:space="0"/>
            </w:tcBorders>
            <w:noWrap w:val="0"/>
            <w:vAlign w:val="center"/>
          </w:tcPr>
          <w:p>
            <w:pPr>
              <w:widowControl/>
              <w:tabs>
                <w:tab w:val="center" w:pos="4201"/>
                <w:tab w:val="right" w:leader="dot" w:pos="9298"/>
              </w:tabs>
              <w:autoSpaceDE w:val="0"/>
              <w:autoSpaceDN w:val="0"/>
              <w:jc w:val="center"/>
              <w:rPr>
                <w:rFonts w:hint="eastAsia" w:ascii="仿宋" w:hAnsi="仿宋" w:eastAsia="仿宋" w:cs="仿宋"/>
                <w:kern w:val="0"/>
                <w:sz w:val="21"/>
                <w:szCs w:val="21"/>
              </w:rPr>
            </w:pPr>
            <w:r>
              <w:rPr>
                <w:rFonts w:hint="eastAsia" w:ascii="仿宋" w:hAnsi="仿宋" w:eastAsia="仿宋" w:cs="仿宋"/>
                <w:kern w:val="0"/>
                <w:sz w:val="21"/>
                <w:szCs w:val="21"/>
              </w:rPr>
              <w:t>效率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3179" w:type="dxa"/>
            <w:noWrap w:val="0"/>
            <w:vAlign w:val="center"/>
          </w:tcPr>
          <w:p>
            <w:pPr>
              <w:widowControl/>
              <w:tabs>
                <w:tab w:val="center" w:pos="4201"/>
                <w:tab w:val="right" w:leader="dot" w:pos="9298"/>
              </w:tabs>
              <w:autoSpaceDE w:val="0"/>
              <w:autoSpaceDN w:val="0"/>
              <w:jc w:val="center"/>
              <w:rPr>
                <w:rFonts w:hint="eastAsia" w:ascii="仿宋" w:hAnsi="仿宋" w:eastAsia="仿宋" w:cs="仿宋"/>
                <w:kern w:val="0"/>
                <w:sz w:val="21"/>
                <w:szCs w:val="21"/>
              </w:rPr>
            </w:pPr>
            <w:r>
              <w:rPr>
                <w:rFonts w:hint="eastAsia" w:ascii="仿宋" w:hAnsi="仿宋" w:eastAsia="仿宋" w:cs="仿宋"/>
                <w:kern w:val="0"/>
                <w:sz w:val="21"/>
                <w:szCs w:val="21"/>
              </w:rPr>
              <w:t>20%≤Po&lt;50%</w:t>
            </w:r>
          </w:p>
        </w:tc>
        <w:tc>
          <w:tcPr>
            <w:tcW w:w="3215" w:type="dxa"/>
            <w:tcBorders>
              <w:right w:val="single" w:color="auto" w:sz="4" w:space="0"/>
            </w:tcBorders>
            <w:noWrap w:val="0"/>
            <w:vAlign w:val="center"/>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0.95</w:t>
            </w:r>
          </w:p>
        </w:tc>
        <w:tc>
          <w:tcPr>
            <w:tcW w:w="2467" w:type="dxa"/>
            <w:tcBorders>
              <w:left w:val="single" w:color="auto" w:sz="4" w:space="0"/>
            </w:tcBorders>
            <w:noWrap w:val="0"/>
            <w:vAlign w:val="center"/>
          </w:tcPr>
          <w:p>
            <w:pPr>
              <w:widowControl/>
              <w:tabs>
                <w:tab w:val="center" w:pos="4201"/>
                <w:tab w:val="right" w:leader="dot" w:pos="9298"/>
              </w:tabs>
              <w:autoSpaceDE w:val="0"/>
              <w:autoSpaceDN w:val="0"/>
              <w:jc w:val="center"/>
              <w:rPr>
                <w:rFonts w:hint="eastAsia" w:ascii="仿宋" w:hAnsi="仿宋" w:eastAsia="仿宋" w:cs="仿宋"/>
                <w:kern w:val="0"/>
                <w:sz w:val="21"/>
                <w:szCs w:val="21"/>
              </w:rPr>
            </w:pPr>
            <w:r>
              <w:rPr>
                <w:rFonts w:hint="eastAsia" w:ascii="仿宋" w:hAnsi="仿宋" w:eastAsia="仿宋" w:cs="仿宋"/>
                <w:kern w:val="0"/>
                <w:sz w:val="21"/>
                <w:szCs w:val="21"/>
              </w:rPr>
              <w:t>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9" w:hRule="atLeast"/>
          <w:jc w:val="center"/>
        </w:trPr>
        <w:tc>
          <w:tcPr>
            <w:tcW w:w="3179" w:type="dxa"/>
            <w:noWrap w:val="0"/>
            <w:vAlign w:val="center"/>
          </w:tcPr>
          <w:p>
            <w:pPr>
              <w:widowControl/>
              <w:tabs>
                <w:tab w:val="center" w:pos="4201"/>
                <w:tab w:val="right" w:leader="dot" w:pos="9298"/>
              </w:tabs>
              <w:autoSpaceDE w:val="0"/>
              <w:autoSpaceDN w:val="0"/>
              <w:jc w:val="center"/>
              <w:rPr>
                <w:rFonts w:hint="eastAsia" w:ascii="仿宋" w:hAnsi="仿宋" w:eastAsia="仿宋" w:cs="仿宋"/>
                <w:kern w:val="0"/>
                <w:sz w:val="21"/>
                <w:szCs w:val="21"/>
              </w:rPr>
            </w:pPr>
            <w:r>
              <w:rPr>
                <w:rFonts w:hint="eastAsia" w:ascii="仿宋" w:hAnsi="仿宋" w:eastAsia="仿宋" w:cs="仿宋"/>
                <w:kern w:val="0"/>
                <w:sz w:val="21"/>
                <w:szCs w:val="21"/>
              </w:rPr>
              <w:t>50%≤Po≤100%</w:t>
            </w:r>
          </w:p>
        </w:tc>
        <w:tc>
          <w:tcPr>
            <w:tcW w:w="3215" w:type="dxa"/>
            <w:tcBorders>
              <w:right w:val="single" w:color="auto" w:sz="4" w:space="0"/>
            </w:tcBorders>
            <w:noWrap w:val="0"/>
            <w:vAlign w:val="center"/>
          </w:tcPr>
          <w:p>
            <w:pPr>
              <w:widowControl/>
              <w:tabs>
                <w:tab w:val="center" w:pos="4201"/>
                <w:tab w:val="right" w:leader="dot" w:pos="9298"/>
              </w:tabs>
              <w:autoSpaceDE w:val="0"/>
              <w:autoSpaceDN w:val="0"/>
              <w:jc w:val="center"/>
              <w:rPr>
                <w:rFonts w:hint="eastAsia" w:ascii="仿宋" w:hAnsi="仿宋" w:eastAsia="仿宋" w:cs="仿宋"/>
                <w:kern w:val="0"/>
                <w:sz w:val="21"/>
                <w:szCs w:val="21"/>
              </w:rPr>
            </w:pPr>
            <w:r>
              <w:rPr>
                <w:rFonts w:hint="eastAsia" w:ascii="仿宋" w:hAnsi="仿宋" w:eastAsia="仿宋" w:cs="仿宋"/>
                <w:kern w:val="0"/>
                <w:sz w:val="21"/>
                <w:szCs w:val="21"/>
              </w:rPr>
              <w:t>0.98</w:t>
            </w:r>
          </w:p>
        </w:tc>
        <w:tc>
          <w:tcPr>
            <w:tcW w:w="2467" w:type="dxa"/>
            <w:tcBorders>
              <w:left w:val="single" w:color="auto" w:sz="4" w:space="0"/>
            </w:tcBorders>
            <w:noWrap w:val="0"/>
            <w:vAlign w:val="center"/>
          </w:tcPr>
          <w:p>
            <w:pPr>
              <w:widowControl/>
              <w:tabs>
                <w:tab w:val="center" w:pos="4201"/>
                <w:tab w:val="right" w:leader="dot" w:pos="9298"/>
              </w:tabs>
              <w:autoSpaceDE w:val="0"/>
              <w:autoSpaceDN w:val="0"/>
              <w:jc w:val="center"/>
              <w:rPr>
                <w:rFonts w:hint="eastAsia" w:ascii="仿宋" w:hAnsi="仿宋" w:eastAsia="仿宋" w:cs="仿宋"/>
                <w:kern w:val="0"/>
                <w:sz w:val="21"/>
                <w:szCs w:val="21"/>
              </w:rPr>
            </w:pPr>
            <w:r>
              <w:rPr>
                <w:rFonts w:hint="eastAsia" w:ascii="仿宋" w:hAnsi="仿宋" w:eastAsia="仿宋" w:cs="仿宋"/>
                <w:kern w:val="0"/>
                <w:sz w:val="21"/>
                <w:szCs w:val="21"/>
              </w:rPr>
              <w:t>93%</w:t>
            </w:r>
          </w:p>
        </w:tc>
      </w:tr>
    </w:tbl>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3.1.3.18</w:t>
      </w:r>
      <w:r>
        <w:rPr>
          <w:rFonts w:hint="eastAsia" w:ascii="仿宋" w:hAnsi="仿宋" w:eastAsia="仿宋" w:cs="仿宋"/>
          <w:b/>
          <w:sz w:val="21"/>
          <w:szCs w:val="21"/>
        </w:rPr>
        <w:t>噪声</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充电机的噪声最大值应不大于65dB（A级）。</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3.1.3.19</w:t>
      </w:r>
      <w:r>
        <w:rPr>
          <w:rFonts w:hint="eastAsia" w:ascii="仿宋" w:hAnsi="仿宋" w:eastAsia="仿宋" w:cs="仿宋"/>
          <w:b/>
          <w:sz w:val="21"/>
          <w:szCs w:val="21"/>
        </w:rPr>
        <w:t>温升</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正常试验条件下，交流输入为额定值，在额定负载下长期连续运行，充电机内部各发热元器件及各部位的温升不应超过表4中的规定。</w:t>
      </w:r>
    </w:p>
    <w:p>
      <w:pPr>
        <w:pStyle w:val="13"/>
        <w:tabs>
          <w:tab w:val="clear" w:pos="315"/>
        </w:tabs>
        <w:spacing w:beforeLines="0" w:afterLines="0"/>
        <w:ind w:left="0" w:firstLine="0"/>
        <w:rPr>
          <w:rFonts w:hint="eastAsia" w:ascii="仿宋" w:hAnsi="仿宋" w:eastAsia="仿宋" w:cs="仿宋"/>
          <w:sz w:val="21"/>
          <w:szCs w:val="21"/>
        </w:rPr>
      </w:pPr>
      <w:r>
        <w:rPr>
          <w:rFonts w:hint="eastAsia" w:ascii="仿宋" w:hAnsi="仿宋" w:eastAsia="仿宋" w:cs="仿宋"/>
          <w:sz w:val="21"/>
          <w:szCs w:val="21"/>
        </w:rPr>
        <w:t>表4  充电机各部件极限温升</w:t>
      </w:r>
    </w:p>
    <w:tbl>
      <w:tblPr>
        <w:tblStyle w:val="10"/>
        <w:tblW w:w="9118" w:type="dxa"/>
        <w:jc w:val="center"/>
        <w:tblLayout w:type="fixed"/>
        <w:tblCellMar>
          <w:top w:w="0" w:type="dxa"/>
          <w:left w:w="108" w:type="dxa"/>
          <w:bottom w:w="0" w:type="dxa"/>
          <w:right w:w="108" w:type="dxa"/>
        </w:tblCellMar>
      </w:tblPr>
      <w:tblGrid>
        <w:gridCol w:w="5303"/>
        <w:gridCol w:w="3815"/>
      </w:tblGrid>
      <w:tr>
        <w:tblPrEx>
          <w:tblCellMar>
            <w:top w:w="0" w:type="dxa"/>
            <w:left w:w="108" w:type="dxa"/>
            <w:bottom w:w="0" w:type="dxa"/>
            <w:right w:w="108" w:type="dxa"/>
          </w:tblCellMar>
        </w:tblPrEx>
        <w:trPr>
          <w:trHeight w:val="463" w:hRule="atLeast"/>
          <w:jc w:val="center"/>
        </w:trPr>
        <w:tc>
          <w:tcPr>
            <w:tcW w:w="5303"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部件或器件</w:t>
            </w:r>
          </w:p>
        </w:tc>
        <w:tc>
          <w:tcPr>
            <w:tcW w:w="3815"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极限温升（K）</w:t>
            </w:r>
          </w:p>
        </w:tc>
      </w:tr>
      <w:tr>
        <w:tblPrEx>
          <w:tblCellMar>
            <w:top w:w="0" w:type="dxa"/>
            <w:left w:w="108" w:type="dxa"/>
            <w:bottom w:w="0" w:type="dxa"/>
            <w:right w:w="108" w:type="dxa"/>
          </w:tblCellMar>
        </w:tblPrEx>
        <w:trPr>
          <w:trHeight w:val="413" w:hRule="atLeast"/>
          <w:jc w:val="center"/>
        </w:trPr>
        <w:tc>
          <w:tcPr>
            <w:tcW w:w="5303"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功率开关器件</w:t>
            </w:r>
          </w:p>
        </w:tc>
        <w:tc>
          <w:tcPr>
            <w:tcW w:w="3815"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70</w:t>
            </w:r>
          </w:p>
        </w:tc>
      </w:tr>
      <w:tr>
        <w:tblPrEx>
          <w:tblCellMar>
            <w:top w:w="0" w:type="dxa"/>
            <w:left w:w="108" w:type="dxa"/>
            <w:bottom w:w="0" w:type="dxa"/>
            <w:right w:w="108" w:type="dxa"/>
          </w:tblCellMar>
        </w:tblPrEx>
        <w:trPr>
          <w:trHeight w:val="405" w:hRule="atLeast"/>
          <w:jc w:val="center"/>
        </w:trPr>
        <w:tc>
          <w:tcPr>
            <w:tcW w:w="5303"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整流变压器、电抗器（B级绝缘绕组）</w:t>
            </w:r>
          </w:p>
        </w:tc>
        <w:tc>
          <w:tcPr>
            <w:tcW w:w="3815"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80</w:t>
            </w:r>
          </w:p>
        </w:tc>
      </w:tr>
      <w:tr>
        <w:tblPrEx>
          <w:tblCellMar>
            <w:top w:w="0" w:type="dxa"/>
            <w:left w:w="108" w:type="dxa"/>
            <w:bottom w:w="0" w:type="dxa"/>
            <w:right w:w="108" w:type="dxa"/>
          </w:tblCellMar>
        </w:tblPrEx>
        <w:trPr>
          <w:trHeight w:val="411" w:hRule="atLeast"/>
          <w:jc w:val="center"/>
        </w:trPr>
        <w:tc>
          <w:tcPr>
            <w:tcW w:w="5303"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与半导体器件的连接处</w:t>
            </w:r>
          </w:p>
        </w:tc>
        <w:tc>
          <w:tcPr>
            <w:tcW w:w="3815"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55</w:t>
            </w:r>
          </w:p>
        </w:tc>
      </w:tr>
      <w:tr>
        <w:tblPrEx>
          <w:tblCellMar>
            <w:top w:w="0" w:type="dxa"/>
            <w:left w:w="108" w:type="dxa"/>
            <w:bottom w:w="0" w:type="dxa"/>
            <w:right w:w="108" w:type="dxa"/>
          </w:tblCellMar>
        </w:tblPrEx>
        <w:trPr>
          <w:trHeight w:val="389" w:hRule="atLeast"/>
          <w:jc w:val="center"/>
        </w:trPr>
        <w:tc>
          <w:tcPr>
            <w:tcW w:w="5303"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与半导体器件的连接处的塑料绝缘线</w:t>
            </w:r>
          </w:p>
        </w:tc>
        <w:tc>
          <w:tcPr>
            <w:tcW w:w="3815"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25</w:t>
            </w:r>
          </w:p>
        </w:tc>
      </w:tr>
      <w:tr>
        <w:tblPrEx>
          <w:tblCellMar>
            <w:top w:w="0" w:type="dxa"/>
            <w:left w:w="108" w:type="dxa"/>
            <w:bottom w:w="0" w:type="dxa"/>
            <w:right w:w="108" w:type="dxa"/>
          </w:tblCellMar>
        </w:tblPrEx>
        <w:trPr>
          <w:trHeight w:val="644" w:hRule="atLeast"/>
          <w:jc w:val="center"/>
        </w:trPr>
        <w:tc>
          <w:tcPr>
            <w:tcW w:w="5303"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母线连接处</w:t>
            </w:r>
          </w:p>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铜与铜</w:t>
            </w:r>
          </w:p>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铜搪锡——铜搪锡</w:t>
            </w:r>
          </w:p>
        </w:tc>
        <w:tc>
          <w:tcPr>
            <w:tcW w:w="3815" w:type="dxa"/>
            <w:tcBorders>
              <w:top w:val="single" w:color="000000" w:sz="8" w:space="0"/>
              <w:left w:val="single" w:color="000000" w:sz="8" w:space="0"/>
              <w:bottom w:val="single" w:color="000000" w:sz="8" w:space="0"/>
              <w:right w:val="single" w:color="000000" w:sz="8" w:space="0"/>
            </w:tcBorders>
            <w:noWrap w:val="0"/>
            <w:vAlign w:val="center"/>
          </w:tcPr>
          <w:p>
            <w:pPr>
              <w:autoSpaceDE w:val="0"/>
              <w:autoSpaceDN w:val="0"/>
              <w:adjustRightInd w:val="0"/>
              <w:jc w:val="center"/>
              <w:rPr>
                <w:rFonts w:hint="eastAsia" w:ascii="仿宋" w:hAnsi="仿宋" w:eastAsia="仿宋" w:cs="仿宋"/>
                <w:kern w:val="0"/>
                <w:sz w:val="21"/>
                <w:szCs w:val="21"/>
              </w:rPr>
            </w:pPr>
          </w:p>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50</w:t>
            </w:r>
          </w:p>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60</w:t>
            </w:r>
          </w:p>
        </w:tc>
      </w:tr>
    </w:tbl>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w:t>
      </w:r>
      <w:r>
        <w:rPr>
          <w:rFonts w:hint="eastAsia" w:ascii="仿宋" w:hAnsi="仿宋" w:eastAsia="仿宋" w:cs="仿宋"/>
          <w:b/>
          <w:sz w:val="21"/>
          <w:szCs w:val="21"/>
        </w:rPr>
        <w:t>20高低温和湿热性能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（1）低温性能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按GB/T 2423.1-2008中试验Ad规定的方法进行试验，试验温度为5.1（2）规定的下限值，待达到试验温度后启动充电机，充电机应能正常工作。试验温度持续2小时后，测试充电机的稳流精度应符合5.1（3）的规定。</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（2）高温性能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按GB/T 2423.2-2008中试验Bd规定的方法进行试验，试验温度为5.1（2）规定的上限值，待达到试验温度后启动充电机，充电机应能正常工作。试验温度持续2小时后，测试充电机的稳流精度应符合5.1（3）的规定。</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（3）湿热性能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按GB/T 2423.4-2008中试验Db规定的方法进行试验，试验温度为（40±2）℃，循环次数为2次，在试验结束前2h进行绝缘电阻和介电强度检测，其中绝缘电阻不应小于1MΩ，介电强度按表3规定值的75％施加测量电压。试验结束后，恢复至正常大气条件，通电后检查充电机各项功能应正常。</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w:t>
      </w:r>
      <w:r>
        <w:rPr>
          <w:rFonts w:hint="eastAsia" w:ascii="仿宋" w:hAnsi="仿宋" w:eastAsia="仿宋" w:cs="仿宋"/>
          <w:b/>
          <w:sz w:val="21"/>
          <w:szCs w:val="21"/>
        </w:rPr>
        <w:t>21机械强度</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按GB/T 2423.55-2006规定的方法进行试验，剧烈冲击能量为20J（5kg，在0.4m）。试验结束后，充电机的IP等级不受影响，绝缘性能不应降低，门的操作和锁止点不应损坏。</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3.1.3.22</w:t>
      </w:r>
      <w:r>
        <w:rPr>
          <w:rFonts w:hint="eastAsia" w:ascii="仿宋" w:hAnsi="仿宋" w:eastAsia="仿宋" w:cs="仿宋"/>
          <w:b/>
          <w:sz w:val="21"/>
          <w:szCs w:val="21"/>
        </w:rPr>
        <w:t>电磁兼容</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（1）抗扰度要求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a)静电放电抗扰度：充电机应能承受GB/T 17626.2-2006中第5章规定的试验等级为3级的静电放电抗扰度试验。</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b)射频电磁场辐射抗扰度：充电机应能承受GB/T 17626.3-2006中第5章规定的试验等级为3级的射频电磁场辐射抗扰度试验。</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c)电快速瞬变脉冲群抗扰度：充电机应能承受GB/T 17626.4-2008中第5章规定的试验等级为3级的电快速瞬变脉冲群抗扰度试验。</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d)浪涌（冲击）抗扰度：充电机应能承受GB/T 17626.5-2008中第5章规定的试验等级为3级的浪涌（冲击）抗扰度试验。</w:t>
      </w:r>
    </w:p>
    <w:p>
      <w:pPr>
        <w:spacing w:line="240" w:lineRule="atLeast"/>
        <w:ind w:firstLine="420" w:firstLineChars="200"/>
        <w:rPr>
          <w:rFonts w:hint="eastAsia" w:ascii="仿宋" w:hAnsi="仿宋" w:eastAsia="仿宋" w:cs="仿宋"/>
          <w:sz w:val="21"/>
          <w:szCs w:val="21"/>
        </w:rPr>
      </w:pPr>
      <w:r>
        <w:rPr>
          <w:rFonts w:hint="eastAsia" w:ascii="仿宋" w:hAnsi="仿宋" w:eastAsia="仿宋" w:cs="仿宋"/>
          <w:sz w:val="21"/>
          <w:szCs w:val="21"/>
        </w:rPr>
        <w:t>e)电压暂降、短时中断抗扰度：充电机应能承受GB/T 17626.11-2008中第5章规定的电压试验等级在0%、40%、70%的额定工作电压的电压暂降、短时中断抗扰度试验。</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（2）电磁发射限制要求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a)传导和辐射发射限值要求：充电机的电源端口应符合表5规定的传导发射限值，外壳端口应符合表6规定的辐射发射限值。</w:t>
      </w:r>
    </w:p>
    <w:p>
      <w:pPr>
        <w:pStyle w:val="13"/>
        <w:tabs>
          <w:tab w:val="clear" w:pos="315"/>
        </w:tabs>
        <w:spacing w:beforeLines="0" w:afterLines="0"/>
        <w:ind w:left="0" w:firstLine="0"/>
        <w:rPr>
          <w:rFonts w:hint="eastAsia" w:ascii="仿宋" w:hAnsi="仿宋" w:eastAsia="仿宋" w:cs="仿宋"/>
          <w:sz w:val="21"/>
          <w:szCs w:val="21"/>
        </w:rPr>
      </w:pPr>
      <w:r>
        <w:rPr>
          <w:rFonts w:hint="eastAsia" w:ascii="仿宋" w:hAnsi="仿宋" w:eastAsia="仿宋" w:cs="仿宋"/>
          <w:sz w:val="21"/>
          <w:szCs w:val="21"/>
        </w:rPr>
        <w:t>表5 传导发射限值</w:t>
      </w:r>
    </w:p>
    <w:tbl>
      <w:tblPr>
        <w:tblStyle w:val="10"/>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2934"/>
        <w:gridCol w:w="2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7" w:type="dxa"/>
            <w:vMerge w:val="restart"/>
            <w:noWrap w:val="0"/>
            <w:vAlign w:val="center"/>
          </w:tcPr>
          <w:p>
            <w:pPr>
              <w:jc w:val="center"/>
              <w:rPr>
                <w:rFonts w:hint="eastAsia" w:ascii="仿宋" w:hAnsi="仿宋" w:eastAsia="仿宋" w:cs="仿宋"/>
                <w:w w:val="80"/>
                <w:sz w:val="21"/>
                <w:szCs w:val="21"/>
              </w:rPr>
            </w:pPr>
            <w:r>
              <w:rPr>
                <w:rFonts w:hint="eastAsia" w:ascii="仿宋" w:hAnsi="仿宋" w:eastAsia="仿宋" w:cs="仿宋"/>
                <w:sz w:val="21"/>
                <w:szCs w:val="21"/>
              </w:rPr>
              <w:t>频率范围（MHz）</w:t>
            </w:r>
          </w:p>
        </w:tc>
        <w:tc>
          <w:tcPr>
            <w:tcW w:w="5891" w:type="dxa"/>
            <w:gridSpan w:val="2"/>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发射限值dB(μV)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227" w:type="dxa"/>
            <w:vMerge w:val="continue"/>
            <w:noWrap w:val="0"/>
            <w:vAlign w:val="center"/>
          </w:tcPr>
          <w:p>
            <w:pPr>
              <w:jc w:val="center"/>
              <w:rPr>
                <w:rFonts w:hint="eastAsia" w:ascii="仿宋" w:hAnsi="仿宋" w:eastAsia="仿宋" w:cs="仿宋"/>
                <w:w w:val="80"/>
                <w:sz w:val="21"/>
                <w:szCs w:val="21"/>
              </w:rPr>
            </w:pPr>
          </w:p>
        </w:tc>
        <w:tc>
          <w:tcPr>
            <w:tcW w:w="2934"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准峰值</w:t>
            </w:r>
          </w:p>
        </w:tc>
        <w:tc>
          <w:tcPr>
            <w:tcW w:w="2957"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0.15～0.5（不含0.5）</w:t>
            </w:r>
          </w:p>
        </w:tc>
        <w:tc>
          <w:tcPr>
            <w:tcW w:w="2934"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79</w:t>
            </w:r>
          </w:p>
        </w:tc>
        <w:tc>
          <w:tcPr>
            <w:tcW w:w="2957"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3227"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0.5～30</w:t>
            </w:r>
          </w:p>
        </w:tc>
        <w:tc>
          <w:tcPr>
            <w:tcW w:w="2934"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73</w:t>
            </w:r>
          </w:p>
        </w:tc>
        <w:tc>
          <w:tcPr>
            <w:tcW w:w="2957"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60</w:t>
            </w:r>
          </w:p>
        </w:tc>
      </w:tr>
    </w:tbl>
    <w:p>
      <w:pPr>
        <w:pStyle w:val="13"/>
        <w:tabs>
          <w:tab w:val="clear" w:pos="315"/>
        </w:tabs>
        <w:spacing w:beforeLines="0" w:afterLines="0"/>
        <w:ind w:left="0" w:firstLine="0"/>
        <w:rPr>
          <w:rFonts w:hint="eastAsia" w:ascii="仿宋" w:hAnsi="仿宋" w:eastAsia="仿宋" w:cs="仿宋"/>
          <w:sz w:val="21"/>
          <w:szCs w:val="21"/>
        </w:rPr>
      </w:pPr>
      <w:r>
        <w:rPr>
          <w:rFonts w:hint="eastAsia" w:ascii="仿宋" w:hAnsi="仿宋" w:eastAsia="仿宋" w:cs="仿宋"/>
          <w:sz w:val="21"/>
          <w:szCs w:val="21"/>
        </w:rPr>
        <w:t>表6  辐射发射限值</w:t>
      </w:r>
    </w:p>
    <w:tbl>
      <w:tblPr>
        <w:tblStyle w:val="10"/>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27" w:type="dxa"/>
            <w:vMerge w:val="restart"/>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频率范围（MHz）</w:t>
            </w:r>
          </w:p>
        </w:tc>
        <w:tc>
          <w:tcPr>
            <w:tcW w:w="5891"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在10 m测量距离处辐射发射限值dB(μV/m)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3227" w:type="dxa"/>
            <w:vMerge w:val="continue"/>
            <w:noWrap w:val="0"/>
            <w:vAlign w:val="center"/>
          </w:tcPr>
          <w:p>
            <w:pPr>
              <w:jc w:val="center"/>
              <w:rPr>
                <w:rFonts w:hint="eastAsia" w:ascii="仿宋" w:hAnsi="仿宋" w:eastAsia="仿宋" w:cs="仿宋"/>
                <w:sz w:val="21"/>
                <w:szCs w:val="21"/>
              </w:rPr>
            </w:pPr>
          </w:p>
        </w:tc>
        <w:tc>
          <w:tcPr>
            <w:tcW w:w="5891"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准峰值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30～230</w:t>
            </w:r>
          </w:p>
        </w:tc>
        <w:tc>
          <w:tcPr>
            <w:tcW w:w="5891" w:type="dxa"/>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3227" w:type="dxa"/>
            <w:noWrap w:val="0"/>
            <w:vAlign w:val="center"/>
          </w:tcPr>
          <w:p>
            <w:pPr>
              <w:jc w:val="center"/>
              <w:rPr>
                <w:rFonts w:hint="eastAsia" w:ascii="仿宋" w:hAnsi="仿宋" w:eastAsia="仿宋" w:cs="仿宋"/>
                <w:sz w:val="21"/>
                <w:szCs w:val="21"/>
              </w:rPr>
            </w:pPr>
            <w:r>
              <w:rPr>
                <w:rFonts w:hint="eastAsia" w:ascii="仿宋" w:hAnsi="仿宋" w:eastAsia="仿宋" w:cs="仿宋"/>
                <w:sz w:val="21"/>
                <w:szCs w:val="21"/>
              </w:rPr>
              <w:t>230～1000（不含230）</w:t>
            </w:r>
          </w:p>
        </w:tc>
        <w:tc>
          <w:tcPr>
            <w:tcW w:w="5891" w:type="dxa"/>
            <w:noWrap w:val="0"/>
            <w:vAlign w:val="center"/>
          </w:tcPr>
          <w:p>
            <w:pPr>
              <w:autoSpaceDE w:val="0"/>
              <w:autoSpaceDN w:val="0"/>
              <w:adjustRightInd w:val="0"/>
              <w:jc w:val="center"/>
              <w:rPr>
                <w:rFonts w:hint="eastAsia" w:ascii="仿宋" w:hAnsi="仿宋" w:eastAsia="仿宋" w:cs="仿宋"/>
                <w:kern w:val="0"/>
                <w:sz w:val="21"/>
                <w:szCs w:val="21"/>
              </w:rPr>
            </w:pPr>
            <w:r>
              <w:rPr>
                <w:rFonts w:hint="eastAsia" w:ascii="仿宋" w:hAnsi="仿宋" w:eastAsia="仿宋" w:cs="仿宋"/>
                <w:kern w:val="0"/>
                <w:sz w:val="21"/>
                <w:szCs w:val="21"/>
              </w:rPr>
              <w:t>47</w:t>
            </w:r>
          </w:p>
        </w:tc>
      </w:tr>
    </w:tbl>
    <w:p>
      <w:pPr>
        <w:ind w:firstLine="420" w:firstLineChars="200"/>
        <w:rPr>
          <w:rFonts w:hint="eastAsia" w:ascii="仿宋" w:hAnsi="仿宋" w:eastAsia="仿宋" w:cs="仿宋"/>
          <w:sz w:val="21"/>
          <w:szCs w:val="21"/>
        </w:rPr>
      </w:pPr>
      <w:r>
        <w:rPr>
          <w:rFonts w:hint="eastAsia" w:ascii="仿宋" w:hAnsi="仿宋" w:eastAsia="仿宋" w:cs="仿宋"/>
          <w:sz w:val="21"/>
          <w:szCs w:val="21"/>
        </w:rPr>
        <w:t>b)</w:t>
      </w:r>
      <w:r>
        <w:rPr>
          <w:rFonts w:hint="eastAsia" w:ascii="仿宋" w:hAnsi="仿宋" w:eastAsia="仿宋" w:cs="仿宋"/>
          <w:sz w:val="21"/>
          <w:szCs w:val="21"/>
        </w:rPr>
        <w:tab/>
      </w:r>
      <w:r>
        <w:rPr>
          <w:rFonts w:hint="eastAsia" w:ascii="仿宋" w:hAnsi="仿宋" w:eastAsia="仿宋" w:cs="仿宋"/>
          <w:sz w:val="21"/>
          <w:szCs w:val="21"/>
        </w:rPr>
        <w:t>谐波电流限值要求：当输出功率为额定功率的50%～100%时，充电机总谐波电流含有率不应大于8%。</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3.1.3.23</w:t>
      </w:r>
      <w:r>
        <w:rPr>
          <w:rFonts w:hint="eastAsia" w:ascii="仿宋" w:hAnsi="仿宋" w:eastAsia="仿宋" w:cs="仿宋"/>
          <w:b/>
          <w:sz w:val="21"/>
          <w:szCs w:val="21"/>
        </w:rPr>
        <w:t>可靠性指标</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充电机平均故障间隔时间（MTBF）应大于等于26280 h。</w:t>
      </w:r>
    </w:p>
    <w:p>
      <w:pPr>
        <w:ind w:firstLine="422" w:firstLineChars="200"/>
        <w:rPr>
          <w:rFonts w:hint="eastAsia" w:ascii="仿宋" w:hAnsi="仿宋" w:eastAsia="仿宋" w:cs="仿宋"/>
          <w:b/>
          <w:sz w:val="21"/>
          <w:szCs w:val="21"/>
        </w:rPr>
      </w:pPr>
      <w:r>
        <w:rPr>
          <w:rFonts w:hint="eastAsia" w:ascii="仿宋" w:hAnsi="仿宋" w:eastAsia="仿宋" w:cs="仿宋"/>
          <w:b/>
          <w:kern w:val="0"/>
          <w:sz w:val="21"/>
          <w:szCs w:val="21"/>
        </w:rPr>
        <w:t>3.1.3.24</w:t>
      </w:r>
      <w:r>
        <w:rPr>
          <w:rFonts w:hint="eastAsia" w:ascii="仿宋" w:hAnsi="仿宋" w:eastAsia="仿宋" w:cs="仿宋"/>
          <w:b/>
          <w:sz w:val="21"/>
          <w:szCs w:val="21"/>
        </w:rPr>
        <w:t>充电机柜体（桩体）要求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a)</w:t>
      </w:r>
      <w:r>
        <w:rPr>
          <w:rFonts w:hint="eastAsia" w:ascii="仿宋" w:hAnsi="仿宋" w:eastAsia="仿宋" w:cs="仿宋"/>
          <w:sz w:val="21"/>
          <w:szCs w:val="21"/>
        </w:rPr>
        <w:tab/>
      </w:r>
      <w:r>
        <w:rPr>
          <w:rFonts w:hint="eastAsia" w:ascii="仿宋" w:hAnsi="仿宋" w:eastAsia="仿宋" w:cs="仿宋"/>
          <w:sz w:val="21"/>
          <w:szCs w:val="21"/>
        </w:rPr>
        <w:t>充电机柜体（桩体）应外观美观、整体流畅，具备独创性（外观专利或实用新型专利），与安装地点周边环境相协调。</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b)</w:t>
      </w:r>
      <w:r>
        <w:rPr>
          <w:rFonts w:hint="eastAsia" w:ascii="仿宋" w:hAnsi="仿宋" w:eastAsia="仿宋" w:cs="仿宋"/>
          <w:sz w:val="21"/>
          <w:szCs w:val="21"/>
        </w:rPr>
        <w:tab/>
      </w:r>
      <w:r>
        <w:rPr>
          <w:rFonts w:hint="eastAsia" w:ascii="仿宋" w:hAnsi="仿宋" w:eastAsia="仿宋" w:cs="仿宋"/>
          <w:sz w:val="21"/>
          <w:szCs w:val="21"/>
        </w:rPr>
        <w:t>充电机柜体（桩体）应具备安装4G/3G通信模块天线和北斗/GPS定位模块天线的位置，并确保壳体不对通信模块或定位模块接收信号产生负面影响。</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c)</w:t>
      </w:r>
      <w:r>
        <w:rPr>
          <w:rFonts w:hint="eastAsia" w:ascii="仿宋" w:hAnsi="仿宋" w:eastAsia="仿宋" w:cs="仿宋"/>
          <w:sz w:val="21"/>
          <w:szCs w:val="21"/>
        </w:rPr>
        <w:tab/>
      </w:r>
      <w:r>
        <w:rPr>
          <w:rFonts w:hint="eastAsia" w:ascii="仿宋" w:hAnsi="仿宋" w:eastAsia="仿宋" w:cs="仿宋"/>
          <w:sz w:val="21"/>
          <w:szCs w:val="21"/>
        </w:rPr>
        <w:t>充电机柜体（桩体）的非接触CPU卡片刷卡区域指示明确，便于放置非接触CPU卡片。</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d)</w:t>
      </w:r>
      <w:r>
        <w:rPr>
          <w:rFonts w:hint="eastAsia" w:ascii="仿宋" w:hAnsi="仿宋" w:eastAsia="仿宋" w:cs="仿宋"/>
          <w:sz w:val="21"/>
          <w:szCs w:val="21"/>
        </w:rPr>
        <w:tab/>
      </w:r>
      <w:r>
        <w:rPr>
          <w:rFonts w:hint="eastAsia" w:ascii="仿宋" w:hAnsi="仿宋" w:eastAsia="仿宋" w:cs="仿宋"/>
          <w:sz w:val="21"/>
          <w:szCs w:val="21"/>
        </w:rPr>
        <w:t>充电机柜体（桩体）内部线束，应排布整齐、规整，标识清楚，捆扎牢固。</w:t>
      </w:r>
    </w:p>
    <w:p>
      <w:pPr>
        <w:ind w:left="980" w:leftChars="200" w:hanging="420" w:hangingChars="200"/>
        <w:rPr>
          <w:rFonts w:hint="eastAsia" w:ascii="仿宋" w:hAnsi="仿宋" w:eastAsia="仿宋" w:cs="仿宋"/>
          <w:sz w:val="21"/>
          <w:szCs w:val="21"/>
        </w:rPr>
      </w:pPr>
      <w:r>
        <w:rPr>
          <w:rFonts w:hint="eastAsia" w:ascii="仿宋" w:hAnsi="仿宋" w:eastAsia="仿宋" w:cs="仿宋"/>
          <w:sz w:val="21"/>
          <w:szCs w:val="21"/>
        </w:rPr>
        <w:t>e)</w:t>
      </w:r>
      <w:r>
        <w:rPr>
          <w:rFonts w:hint="eastAsia" w:ascii="仿宋" w:hAnsi="仿宋" w:eastAsia="仿宋" w:cs="仿宋"/>
          <w:sz w:val="21"/>
          <w:szCs w:val="21"/>
        </w:rPr>
        <w:tab/>
      </w:r>
      <w:r>
        <w:rPr>
          <w:rFonts w:hint="eastAsia" w:ascii="仿宋" w:hAnsi="仿宋" w:eastAsia="仿宋" w:cs="仿宋"/>
          <w:sz w:val="21"/>
          <w:szCs w:val="21"/>
        </w:rPr>
        <w:t xml:space="preserve"> </w:t>
      </w:r>
      <w:bookmarkStart w:id="11" w:name="_Hlk139445113"/>
      <w:r>
        <w:rPr>
          <w:rFonts w:hint="eastAsia" w:ascii="仿宋" w:hAnsi="仿宋" w:eastAsia="仿宋" w:cs="仿宋"/>
          <w:sz w:val="21"/>
          <w:szCs w:val="21"/>
        </w:rPr>
        <w:t>充电机柜体（桩体）内元器件应布局合理，模块仓、高压单元和低压控制单元应进行有效物理分隔，易耗易损元件方便更换</w:t>
      </w:r>
      <w:bookmarkEnd w:id="11"/>
      <w:r>
        <w:rPr>
          <w:rFonts w:hint="eastAsia" w:ascii="仿宋" w:hAnsi="仿宋" w:eastAsia="仿宋" w:cs="仿宋"/>
          <w:sz w:val="21"/>
          <w:szCs w:val="21"/>
        </w:rPr>
        <w:t>。</w:t>
      </w:r>
    </w:p>
    <w:p>
      <w:pPr>
        <w:ind w:left="770" w:leftChars="200" w:hanging="210" w:hangingChars="100"/>
        <w:rPr>
          <w:rFonts w:hint="eastAsia" w:ascii="仿宋" w:hAnsi="仿宋" w:eastAsia="仿宋" w:cs="仿宋"/>
          <w:sz w:val="21"/>
          <w:szCs w:val="21"/>
        </w:rPr>
      </w:pPr>
      <w:r>
        <w:rPr>
          <w:rFonts w:hint="eastAsia" w:ascii="仿宋" w:hAnsi="仿宋" w:eastAsia="仿宋" w:cs="仿宋"/>
          <w:sz w:val="21"/>
          <w:szCs w:val="21"/>
        </w:rPr>
        <w:t>f)</w:t>
      </w:r>
      <w:r>
        <w:rPr>
          <w:rFonts w:hint="eastAsia" w:ascii="仿宋" w:hAnsi="仿宋" w:eastAsia="仿宋" w:cs="仿宋"/>
          <w:sz w:val="21"/>
          <w:szCs w:val="21"/>
        </w:rPr>
        <w:tab/>
      </w:r>
      <w:r>
        <w:rPr>
          <w:rFonts w:hint="eastAsia" w:ascii="仿宋" w:hAnsi="仿宋" w:eastAsia="仿宋" w:cs="仿宋"/>
          <w:sz w:val="21"/>
          <w:szCs w:val="21"/>
        </w:rPr>
        <w:t xml:space="preserve">  充电机柜体（桩体）安装于户外时，应便于特殊天气条件下的日常维护，前、后侧应设置可开启的检修门。</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g)</w:t>
      </w:r>
      <w:r>
        <w:rPr>
          <w:rFonts w:hint="eastAsia" w:ascii="仿宋" w:hAnsi="仿宋" w:eastAsia="仿宋" w:cs="仿宋"/>
          <w:sz w:val="21"/>
          <w:szCs w:val="21"/>
        </w:rPr>
        <w:tab/>
      </w:r>
      <w:r>
        <w:rPr>
          <w:rFonts w:hint="eastAsia" w:ascii="仿宋" w:hAnsi="仿宋" w:eastAsia="仿宋" w:cs="仿宋"/>
          <w:sz w:val="21"/>
          <w:szCs w:val="21"/>
        </w:rPr>
        <w:t>充电机柜体（桩体）应采用抗冲击力强、抗老化的材质。</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h)</w:t>
      </w:r>
      <w:r>
        <w:rPr>
          <w:rFonts w:hint="eastAsia" w:ascii="仿宋" w:hAnsi="仿宋" w:eastAsia="仿宋" w:cs="仿宋"/>
          <w:sz w:val="21"/>
          <w:szCs w:val="21"/>
        </w:rPr>
        <w:tab/>
      </w:r>
      <w:r>
        <w:rPr>
          <w:rFonts w:hint="eastAsia" w:ascii="仿宋" w:hAnsi="仿宋" w:eastAsia="仿宋" w:cs="仿宋"/>
          <w:sz w:val="21"/>
          <w:szCs w:val="21"/>
        </w:rPr>
        <w:t>充电机柜体（桩体）表面涂覆色泽层应均匀光洁，不起泡、不龟裂、不脱落。</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i)</w:t>
      </w:r>
      <w:r>
        <w:rPr>
          <w:rFonts w:hint="eastAsia" w:ascii="仿宋" w:hAnsi="仿宋" w:eastAsia="仿宋" w:cs="仿宋"/>
          <w:sz w:val="21"/>
          <w:szCs w:val="21"/>
        </w:rPr>
        <w:tab/>
      </w:r>
      <w:r>
        <w:rPr>
          <w:rFonts w:hint="eastAsia" w:ascii="仿宋" w:hAnsi="仿宋" w:eastAsia="仿宋" w:cs="仿宋"/>
          <w:sz w:val="21"/>
          <w:szCs w:val="21"/>
        </w:rPr>
        <w:t>非绝缘材料外壳应可靠接地，</w:t>
      </w:r>
      <w:bookmarkStart w:id="12" w:name="_Hlk139445231"/>
      <w:r>
        <w:rPr>
          <w:rFonts w:hint="eastAsia" w:ascii="仿宋" w:hAnsi="仿宋" w:eastAsia="仿宋" w:cs="仿宋"/>
          <w:sz w:val="21"/>
          <w:szCs w:val="21"/>
        </w:rPr>
        <w:t>高压部分应进行物理封闭，</w:t>
      </w:r>
      <w:bookmarkEnd w:id="12"/>
      <w:r>
        <w:rPr>
          <w:rFonts w:hint="eastAsia" w:ascii="仿宋" w:hAnsi="仿宋" w:eastAsia="仿宋" w:cs="仿宋"/>
          <w:sz w:val="21"/>
          <w:szCs w:val="21"/>
        </w:rPr>
        <w:t>结构上应防止操作人员</w:t>
      </w:r>
    </w:p>
    <w:p>
      <w:pPr>
        <w:ind w:firstLine="840" w:firstLineChars="400"/>
        <w:rPr>
          <w:rFonts w:hint="eastAsia" w:ascii="仿宋" w:hAnsi="仿宋" w:eastAsia="仿宋" w:cs="仿宋"/>
          <w:sz w:val="21"/>
          <w:szCs w:val="21"/>
        </w:rPr>
      </w:pPr>
      <w:r>
        <w:rPr>
          <w:rFonts w:hint="eastAsia" w:ascii="仿宋" w:hAnsi="仿宋" w:eastAsia="仿宋" w:cs="仿宋"/>
          <w:sz w:val="21"/>
          <w:szCs w:val="21"/>
        </w:rPr>
        <w:t>触及带电部件。</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j)</w:t>
      </w:r>
      <w:r>
        <w:rPr>
          <w:rFonts w:hint="eastAsia" w:ascii="仿宋" w:hAnsi="仿宋" w:eastAsia="仿宋" w:cs="仿宋"/>
          <w:sz w:val="21"/>
          <w:szCs w:val="21"/>
        </w:rPr>
        <w:tab/>
      </w:r>
      <w:r>
        <w:rPr>
          <w:rFonts w:hint="eastAsia" w:ascii="仿宋" w:hAnsi="仿宋" w:eastAsia="仿宋" w:cs="仿宋"/>
          <w:sz w:val="21"/>
          <w:szCs w:val="21"/>
        </w:rPr>
        <w:t>人机交互的操作按键和显示界面应设置在便于人操作和查看的位置。</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k)</w:t>
      </w:r>
      <w:r>
        <w:rPr>
          <w:rFonts w:hint="eastAsia" w:ascii="仿宋" w:hAnsi="仿宋" w:eastAsia="仿宋" w:cs="仿宋"/>
          <w:sz w:val="21"/>
          <w:szCs w:val="21"/>
        </w:rPr>
        <w:tab/>
      </w:r>
      <w:r>
        <w:rPr>
          <w:rFonts w:hint="eastAsia" w:ascii="仿宋" w:hAnsi="仿宋" w:eastAsia="仿宋" w:cs="仿宋"/>
          <w:sz w:val="21"/>
          <w:szCs w:val="21"/>
        </w:rPr>
        <w:t>充电机数据通信接线应采用屏蔽线保护，屏蔽层应在桩体内可靠接地。</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l)</w:t>
      </w:r>
      <w:r>
        <w:rPr>
          <w:rFonts w:hint="eastAsia" w:ascii="仿宋" w:hAnsi="仿宋" w:eastAsia="仿宋" w:cs="仿宋"/>
          <w:sz w:val="21"/>
          <w:szCs w:val="21"/>
        </w:rPr>
        <w:tab/>
      </w:r>
      <w:r>
        <w:rPr>
          <w:rFonts w:hint="eastAsia" w:ascii="仿宋" w:hAnsi="仿宋" w:eastAsia="仿宋" w:cs="仿宋"/>
          <w:sz w:val="21"/>
          <w:szCs w:val="21"/>
        </w:rPr>
        <w:t>急停按钮动作不应断开充电桩控制电源，且不应影响其他充电桩正常工作。</w:t>
      </w:r>
    </w:p>
    <w:p>
      <w:pPr>
        <w:ind w:firstLine="420" w:firstLineChars="200"/>
        <w:rPr>
          <w:rFonts w:hint="eastAsia" w:ascii="仿宋" w:hAnsi="仿宋" w:eastAsia="仿宋" w:cs="仿宋"/>
          <w:sz w:val="21"/>
          <w:szCs w:val="21"/>
        </w:rPr>
      </w:pPr>
      <w:bookmarkStart w:id="13" w:name="_Hlk139445174"/>
      <w:r>
        <w:rPr>
          <w:rFonts w:hint="eastAsia" w:ascii="仿宋" w:hAnsi="仿宋" w:eastAsia="仿宋" w:cs="仿宋"/>
          <w:sz w:val="21"/>
          <w:szCs w:val="21"/>
        </w:rPr>
        <w:t>m)  模块输出线应采用耐180℃以上高温的软导线连接。</w:t>
      </w:r>
    </w:p>
    <w:bookmarkEnd w:id="13"/>
    <w:p>
      <w:pPr>
        <w:ind w:firstLine="211" w:firstLineChars="100"/>
        <w:rPr>
          <w:rFonts w:hint="eastAsia" w:ascii="仿宋" w:hAnsi="仿宋" w:eastAsia="仿宋" w:cs="仿宋"/>
          <w:b/>
          <w:bCs/>
          <w:sz w:val="21"/>
          <w:szCs w:val="21"/>
        </w:rPr>
      </w:pPr>
      <w:r>
        <w:rPr>
          <w:rFonts w:hint="eastAsia" w:ascii="仿宋" w:hAnsi="仿宋" w:eastAsia="仿宋" w:cs="仿宋"/>
          <w:b/>
          <w:kern w:val="0"/>
          <w:sz w:val="21"/>
          <w:szCs w:val="21"/>
        </w:rPr>
        <w:t>3.1.3.25</w:t>
      </w:r>
      <w:r>
        <w:rPr>
          <w:rFonts w:hint="eastAsia" w:ascii="仿宋" w:hAnsi="仿宋" w:eastAsia="仿宋" w:cs="仿宋"/>
          <w:b/>
          <w:bCs/>
          <w:sz w:val="21"/>
          <w:szCs w:val="21"/>
        </w:rPr>
        <w:t>直流充电系统</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1.充电机设备选型及性能参数</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充电机采用户外落地式安装方式，防护等级IP54；人机交互界面、通讯、计费采用全站统一配置。</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2.性能参数</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47"/>
        <w:gridCol w:w="6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3"/>
            <w:noWrap w:val="0"/>
            <w:vAlign w:val="top"/>
          </w:tcPr>
          <w:p>
            <w:pPr>
              <w:jc w:val="center"/>
              <w:rPr>
                <w:rFonts w:hint="eastAsia" w:ascii="仿宋" w:hAnsi="仿宋" w:eastAsia="仿宋" w:cs="仿宋"/>
                <w:kern w:val="0"/>
                <w:sz w:val="21"/>
                <w:szCs w:val="21"/>
              </w:rPr>
            </w:pPr>
            <w:r>
              <w:rPr>
                <w:rFonts w:hint="eastAsia" w:ascii="仿宋" w:hAnsi="仿宋" w:eastAsia="仿宋" w:cs="仿宋"/>
                <w:kern w:val="0"/>
                <w:sz w:val="21"/>
                <w:szCs w:val="21"/>
              </w:rPr>
              <w:t>性能参数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22" w:type="dxa"/>
            <w:gridSpan w:val="2"/>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结构形式</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落地户外柜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restart"/>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输入</w:t>
            </w:r>
          </w:p>
          <w:p>
            <w:pPr>
              <w:rPr>
                <w:rFonts w:hint="eastAsia" w:ascii="仿宋" w:hAnsi="仿宋" w:eastAsia="仿宋" w:cs="仿宋"/>
                <w:kern w:val="0"/>
                <w:sz w:val="21"/>
                <w:szCs w:val="21"/>
              </w:rPr>
            </w:pPr>
            <w:r>
              <w:rPr>
                <w:rFonts w:hint="eastAsia" w:ascii="仿宋" w:hAnsi="仿宋" w:eastAsia="仿宋" w:cs="仿宋"/>
                <w:kern w:val="0"/>
                <w:sz w:val="21"/>
                <w:szCs w:val="21"/>
              </w:rPr>
              <w:t>特性</w:t>
            </w: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额定电压</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380V±15%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额定频率</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50Hz±1Hz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restart"/>
            <w:noWrap w:val="0"/>
            <w:vAlign w:val="top"/>
          </w:tcPr>
          <w:p>
            <w:pPr>
              <w:rPr>
                <w:rFonts w:hint="eastAsia" w:ascii="仿宋" w:hAnsi="仿宋" w:eastAsia="仿宋" w:cs="仿宋"/>
                <w:kern w:val="0"/>
                <w:sz w:val="21"/>
                <w:szCs w:val="21"/>
              </w:rPr>
            </w:pPr>
          </w:p>
          <w:p>
            <w:pPr>
              <w:rPr>
                <w:rFonts w:hint="eastAsia" w:ascii="仿宋" w:hAnsi="仿宋" w:eastAsia="仿宋" w:cs="仿宋"/>
                <w:kern w:val="0"/>
                <w:sz w:val="21"/>
                <w:szCs w:val="21"/>
              </w:rPr>
            </w:pPr>
          </w:p>
          <w:p>
            <w:pPr>
              <w:rPr>
                <w:rFonts w:hint="eastAsia" w:ascii="仿宋" w:hAnsi="仿宋" w:eastAsia="仿宋" w:cs="仿宋"/>
                <w:kern w:val="0"/>
                <w:sz w:val="21"/>
                <w:szCs w:val="21"/>
              </w:rPr>
            </w:pPr>
          </w:p>
          <w:p>
            <w:pPr>
              <w:rPr>
                <w:rFonts w:hint="eastAsia" w:ascii="仿宋" w:hAnsi="仿宋" w:eastAsia="仿宋" w:cs="仿宋"/>
                <w:kern w:val="0"/>
                <w:sz w:val="21"/>
                <w:szCs w:val="21"/>
              </w:rPr>
            </w:pPr>
          </w:p>
          <w:p>
            <w:pPr>
              <w:rPr>
                <w:rFonts w:hint="eastAsia" w:ascii="仿宋" w:hAnsi="仿宋" w:eastAsia="仿宋" w:cs="仿宋"/>
                <w:kern w:val="0"/>
                <w:sz w:val="21"/>
                <w:szCs w:val="21"/>
              </w:rPr>
            </w:pPr>
            <w:r>
              <w:rPr>
                <w:rFonts w:hint="eastAsia" w:ascii="仿宋" w:hAnsi="仿宋" w:eastAsia="仿宋" w:cs="仿宋"/>
                <w:kern w:val="0"/>
                <w:sz w:val="21"/>
                <w:szCs w:val="21"/>
              </w:rPr>
              <w:t>输</w:t>
            </w:r>
          </w:p>
          <w:p>
            <w:pPr>
              <w:rPr>
                <w:rFonts w:hint="eastAsia" w:ascii="仿宋" w:hAnsi="仿宋" w:eastAsia="仿宋" w:cs="仿宋"/>
                <w:kern w:val="0"/>
                <w:sz w:val="21"/>
                <w:szCs w:val="21"/>
              </w:rPr>
            </w:pPr>
            <w:r>
              <w:rPr>
                <w:rFonts w:hint="eastAsia" w:ascii="仿宋" w:hAnsi="仿宋" w:eastAsia="仿宋" w:cs="仿宋"/>
                <w:kern w:val="0"/>
                <w:sz w:val="21"/>
                <w:szCs w:val="21"/>
              </w:rPr>
              <w:t>出</w:t>
            </w:r>
          </w:p>
          <w:p>
            <w:pPr>
              <w:rPr>
                <w:rFonts w:hint="eastAsia" w:ascii="仿宋" w:hAnsi="仿宋" w:eastAsia="仿宋" w:cs="仿宋"/>
                <w:kern w:val="0"/>
                <w:sz w:val="21"/>
                <w:szCs w:val="21"/>
              </w:rPr>
            </w:pPr>
            <w:r>
              <w:rPr>
                <w:rFonts w:hint="eastAsia" w:ascii="仿宋" w:hAnsi="仿宋" w:eastAsia="仿宋" w:cs="仿宋"/>
                <w:kern w:val="0"/>
                <w:sz w:val="21"/>
                <w:szCs w:val="21"/>
              </w:rPr>
              <w:t>特</w:t>
            </w:r>
          </w:p>
          <w:p>
            <w:pPr>
              <w:rPr>
                <w:rFonts w:hint="eastAsia" w:ascii="仿宋" w:hAnsi="仿宋" w:eastAsia="仿宋" w:cs="仿宋"/>
                <w:kern w:val="0"/>
                <w:sz w:val="21"/>
                <w:szCs w:val="21"/>
              </w:rPr>
            </w:pPr>
            <w:r>
              <w:rPr>
                <w:rFonts w:hint="eastAsia" w:ascii="仿宋" w:hAnsi="仿宋" w:eastAsia="仿宋" w:cs="仿宋"/>
                <w:kern w:val="0"/>
                <w:sz w:val="21"/>
                <w:szCs w:val="21"/>
              </w:rPr>
              <w:t>性</w:t>
            </w: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额定功率</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根据具体项目设计图纸确定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输出电压</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DC200-750V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恒功率电压范围</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DC 400-500 V,600-750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输出电流</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单枪最大输出250A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功率因数</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≥0.95（20%≤P＜50%）</w:t>
            </w:r>
          </w:p>
          <w:p>
            <w:pPr>
              <w:rPr>
                <w:rFonts w:hint="eastAsia" w:ascii="仿宋" w:hAnsi="仿宋" w:eastAsia="仿宋" w:cs="仿宋"/>
                <w:kern w:val="0"/>
                <w:sz w:val="21"/>
                <w:szCs w:val="21"/>
              </w:rPr>
            </w:pPr>
            <w:r>
              <w:rPr>
                <w:rFonts w:hint="eastAsia" w:ascii="仿宋" w:hAnsi="仿宋" w:eastAsia="仿宋" w:cs="仿宋"/>
                <w:kern w:val="0"/>
                <w:sz w:val="21"/>
                <w:szCs w:val="21"/>
              </w:rPr>
              <w:t>≥0.98（50%≤P≤100%）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 xml:space="preserve">输出电压误差: </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输出电流误差</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≥30A：不超过±1%</w:t>
            </w:r>
          </w:p>
          <w:p>
            <w:pPr>
              <w:rPr>
                <w:rFonts w:hint="eastAsia" w:ascii="仿宋" w:hAnsi="仿宋" w:eastAsia="仿宋" w:cs="仿宋"/>
                <w:kern w:val="0"/>
                <w:sz w:val="21"/>
                <w:szCs w:val="21"/>
              </w:rPr>
            </w:pPr>
            <w:r>
              <w:rPr>
                <w:rFonts w:hint="eastAsia" w:ascii="仿宋" w:hAnsi="仿宋" w:eastAsia="仿宋" w:cs="仿宋"/>
                <w:kern w:val="0"/>
                <w:sz w:val="21"/>
                <w:szCs w:val="21"/>
              </w:rPr>
              <w:t>＜30A：不超过±0.3A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稳压精度</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稳流精度</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纹波系数</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峰值不超过±1%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Merge w:val="continue"/>
            <w:noWrap w:val="0"/>
            <w:vAlign w:val="top"/>
          </w:tcPr>
          <w:p>
            <w:pPr>
              <w:rPr>
                <w:rFonts w:hint="eastAsia" w:ascii="仿宋" w:hAnsi="仿宋" w:eastAsia="仿宋" w:cs="仿宋"/>
                <w:kern w:val="0"/>
                <w:sz w:val="21"/>
                <w:szCs w:val="21"/>
              </w:rPr>
            </w:pPr>
          </w:p>
        </w:tc>
        <w:tc>
          <w:tcPr>
            <w:tcW w:w="1847"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整机效率</w:t>
            </w:r>
          </w:p>
        </w:tc>
        <w:tc>
          <w:tcPr>
            <w:tcW w:w="6000" w:type="dxa"/>
            <w:noWrap w:val="0"/>
            <w:vAlign w:val="top"/>
          </w:tcPr>
          <w:p>
            <w:pPr>
              <w:rPr>
                <w:rFonts w:hint="eastAsia" w:ascii="仿宋" w:hAnsi="仿宋" w:eastAsia="仿宋" w:cs="仿宋"/>
                <w:kern w:val="0"/>
                <w:sz w:val="21"/>
                <w:szCs w:val="21"/>
              </w:rPr>
            </w:pPr>
            <w:r>
              <w:rPr>
                <w:rFonts w:hint="eastAsia" w:ascii="仿宋" w:hAnsi="仿宋" w:eastAsia="仿宋" w:cs="仿宋"/>
                <w:kern w:val="0"/>
                <w:sz w:val="21"/>
                <w:szCs w:val="21"/>
              </w:rPr>
              <w:t>≥0.88（20%≤P＜50%）</w:t>
            </w:r>
          </w:p>
          <w:p>
            <w:pPr>
              <w:rPr>
                <w:rFonts w:hint="eastAsia" w:ascii="仿宋" w:hAnsi="仿宋" w:eastAsia="仿宋" w:cs="仿宋"/>
                <w:kern w:val="0"/>
                <w:sz w:val="21"/>
                <w:szCs w:val="21"/>
              </w:rPr>
            </w:pPr>
            <w:r>
              <w:rPr>
                <w:rFonts w:hint="eastAsia" w:ascii="仿宋" w:hAnsi="仿宋" w:eastAsia="仿宋" w:cs="仿宋"/>
                <w:kern w:val="0"/>
                <w:sz w:val="21"/>
                <w:szCs w:val="21"/>
              </w:rPr>
              <w:t>≥0.93（50%≤P≤100%）</w:t>
            </w:r>
          </w:p>
        </w:tc>
      </w:tr>
    </w:tbl>
    <w:p>
      <w:pPr>
        <w:ind w:firstLine="420" w:firstLineChars="200"/>
        <w:rPr>
          <w:rFonts w:hint="eastAsia" w:ascii="仿宋" w:hAnsi="仿宋" w:eastAsia="仿宋" w:cs="仿宋"/>
          <w:sz w:val="21"/>
          <w:szCs w:val="21"/>
        </w:rPr>
      </w:pPr>
      <w:r>
        <w:rPr>
          <w:rFonts w:hint="eastAsia" w:ascii="仿宋" w:hAnsi="仿宋" w:eastAsia="仿宋" w:cs="仿宋"/>
          <w:sz w:val="21"/>
          <w:szCs w:val="21"/>
        </w:rPr>
        <w:t>（1）功率自动分配：根据具体项目设计图纸。</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（2）设备级别： A 级设备，带有源功率因数校正电路。</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（3）读卡器类型：非接触式。</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（4）充电机柜尺寸：根据场地情况进行选配，满足在招标方提供场地上安装的条件。</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（5）桩体颜色及标识：根据招标方要求。</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（6）底座安装孔位根据甲方要求指定。</w:t>
      </w:r>
    </w:p>
    <w:p>
      <w:pPr>
        <w:ind w:firstLine="420" w:firstLineChars="200"/>
        <w:rPr>
          <w:rFonts w:hint="eastAsia" w:ascii="仿宋" w:hAnsi="仿宋" w:eastAsia="仿宋" w:cs="仿宋"/>
          <w:sz w:val="21"/>
          <w:szCs w:val="21"/>
          <w:u w:val="single"/>
        </w:rPr>
      </w:pPr>
      <w:r>
        <w:rPr>
          <w:rFonts w:hint="eastAsia" w:ascii="仿宋" w:hAnsi="仿宋" w:eastAsia="仿宋" w:cs="仿宋"/>
          <w:sz w:val="21"/>
          <w:szCs w:val="21"/>
        </w:rPr>
        <w:t>（7）枪线长度：设备外线长5米</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（8）防护等级：IP54 或以上。</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（9）枪线保护：枪线具有防磨损保护措施。</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4" w:name="_Toc786"/>
      <w:bookmarkStart w:id="15" w:name="_Toc2558"/>
      <w:r>
        <w:rPr>
          <w:rFonts w:hint="eastAsia" w:ascii="仿宋" w:hAnsi="仿宋" w:eastAsia="仿宋" w:cs="仿宋"/>
          <w:b/>
          <w:sz w:val="21"/>
          <w:szCs w:val="21"/>
        </w:rPr>
        <w:t>3.2交流充电桩</w:t>
      </w:r>
      <w:bookmarkEnd w:id="14"/>
      <w:bookmarkEnd w:id="15"/>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6" w:name="_Toc23341598"/>
      <w:bookmarkStart w:id="17" w:name="_Toc11236"/>
      <w:bookmarkStart w:id="18" w:name="_Toc23405138"/>
      <w:bookmarkStart w:id="19" w:name="_Toc21866"/>
      <w:r>
        <w:rPr>
          <w:rFonts w:hint="eastAsia" w:ascii="仿宋" w:hAnsi="仿宋" w:eastAsia="仿宋" w:cs="仿宋"/>
          <w:b/>
          <w:sz w:val="21"/>
          <w:szCs w:val="21"/>
        </w:rPr>
        <w:t>3.2.1技术参数</w:t>
      </w:r>
      <w:bookmarkEnd w:id="16"/>
      <w:bookmarkEnd w:id="17"/>
      <w:bookmarkEnd w:id="18"/>
      <w:bookmarkEnd w:id="19"/>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20" w:name="_Toc17008"/>
      <w:bookmarkStart w:id="21" w:name="_Toc23341599"/>
      <w:r>
        <w:rPr>
          <w:rFonts w:hint="eastAsia" w:ascii="仿宋" w:hAnsi="仿宋" w:eastAsia="仿宋" w:cs="仿宋"/>
          <w:b/>
          <w:sz w:val="21"/>
          <w:szCs w:val="21"/>
        </w:rPr>
        <w:t>3.2.1.1环境条件</w:t>
      </w:r>
      <w:bookmarkEnd w:id="20"/>
      <w:bookmarkEnd w:id="21"/>
    </w:p>
    <w:p>
      <w:pPr>
        <w:numPr>
          <w:ilvl w:val="0"/>
          <w:numId w:val="2"/>
        </w:numPr>
        <w:tabs>
          <w:tab w:val="left" w:pos="1134"/>
        </w:tabs>
        <w:spacing w:line="240" w:lineRule="atLeast"/>
        <w:ind w:left="1134" w:hanging="399"/>
        <w:rPr>
          <w:rFonts w:hint="eastAsia" w:ascii="仿宋" w:hAnsi="仿宋" w:eastAsia="仿宋" w:cs="仿宋"/>
          <w:sz w:val="21"/>
          <w:szCs w:val="21"/>
        </w:rPr>
      </w:pPr>
      <w:r>
        <w:rPr>
          <w:rFonts w:hint="eastAsia" w:ascii="仿宋" w:hAnsi="仿宋" w:eastAsia="仿宋" w:cs="仿宋"/>
          <w:sz w:val="21"/>
          <w:szCs w:val="21"/>
        </w:rPr>
        <w:t>环境温度：-20℃～50℃；</w:t>
      </w:r>
    </w:p>
    <w:p>
      <w:pPr>
        <w:numPr>
          <w:ilvl w:val="0"/>
          <w:numId w:val="2"/>
        </w:numPr>
        <w:tabs>
          <w:tab w:val="left" w:pos="1134"/>
        </w:tabs>
        <w:spacing w:line="240" w:lineRule="atLeast"/>
        <w:ind w:left="1134" w:hanging="399"/>
        <w:rPr>
          <w:rFonts w:hint="eastAsia" w:ascii="仿宋" w:hAnsi="仿宋" w:eastAsia="仿宋" w:cs="仿宋"/>
          <w:sz w:val="21"/>
          <w:szCs w:val="21"/>
        </w:rPr>
      </w:pPr>
      <w:r>
        <w:rPr>
          <w:rFonts w:hint="eastAsia" w:ascii="仿宋" w:hAnsi="仿宋" w:eastAsia="仿宋" w:cs="仿宋"/>
          <w:sz w:val="21"/>
          <w:szCs w:val="21"/>
        </w:rPr>
        <w:t>相对湿度：5％～95％；</w:t>
      </w:r>
    </w:p>
    <w:p>
      <w:pPr>
        <w:numPr>
          <w:ilvl w:val="0"/>
          <w:numId w:val="2"/>
        </w:numPr>
        <w:tabs>
          <w:tab w:val="left" w:pos="1134"/>
        </w:tabs>
        <w:spacing w:line="240" w:lineRule="atLeast"/>
        <w:ind w:left="1134" w:hanging="399"/>
        <w:rPr>
          <w:rFonts w:hint="eastAsia" w:ascii="仿宋" w:hAnsi="仿宋" w:eastAsia="仿宋" w:cs="仿宋"/>
          <w:sz w:val="21"/>
          <w:szCs w:val="21"/>
        </w:rPr>
      </w:pPr>
      <w:r>
        <w:rPr>
          <w:rFonts w:hint="eastAsia" w:ascii="仿宋" w:hAnsi="仿宋" w:eastAsia="仿宋" w:cs="仿宋"/>
          <w:sz w:val="21"/>
          <w:szCs w:val="21"/>
        </w:rPr>
        <w:t>海拔高度：≤2000m；</w:t>
      </w:r>
    </w:p>
    <w:p>
      <w:pPr>
        <w:numPr>
          <w:ilvl w:val="0"/>
          <w:numId w:val="2"/>
        </w:numPr>
        <w:tabs>
          <w:tab w:val="left" w:pos="1134"/>
        </w:tabs>
        <w:spacing w:line="240" w:lineRule="atLeast"/>
        <w:ind w:left="1134" w:hanging="399"/>
        <w:rPr>
          <w:rFonts w:hint="eastAsia" w:ascii="仿宋" w:hAnsi="仿宋" w:eastAsia="仿宋" w:cs="仿宋"/>
          <w:sz w:val="21"/>
          <w:szCs w:val="21"/>
        </w:rPr>
      </w:pPr>
      <w:r>
        <w:rPr>
          <w:rFonts w:hint="eastAsia" w:ascii="仿宋" w:hAnsi="仿宋" w:eastAsia="仿宋" w:cs="仿宋"/>
          <w:sz w:val="21"/>
          <w:szCs w:val="21"/>
        </w:rPr>
        <w:t>大气压强：80kPa～110kPa。</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22" w:name="_Toc23341600"/>
      <w:bookmarkStart w:id="23" w:name="_Toc8575"/>
      <w:r>
        <w:rPr>
          <w:rFonts w:hint="eastAsia" w:ascii="仿宋" w:hAnsi="仿宋" w:eastAsia="仿宋" w:cs="仿宋"/>
          <w:b/>
          <w:sz w:val="21"/>
          <w:szCs w:val="21"/>
        </w:rPr>
        <w:t>3.2.1.2电源条件</w:t>
      </w:r>
      <w:bookmarkEnd w:id="22"/>
      <w:bookmarkEnd w:id="23"/>
    </w:p>
    <w:p>
      <w:pPr>
        <w:numPr>
          <w:ilvl w:val="0"/>
          <w:numId w:val="3"/>
        </w:numPr>
        <w:tabs>
          <w:tab w:val="left" w:pos="1134"/>
        </w:tabs>
        <w:spacing w:line="240" w:lineRule="atLeast"/>
        <w:rPr>
          <w:rFonts w:hint="eastAsia" w:ascii="仿宋" w:hAnsi="仿宋" w:eastAsia="仿宋" w:cs="仿宋"/>
          <w:sz w:val="21"/>
          <w:szCs w:val="21"/>
        </w:rPr>
      </w:pPr>
      <w:r>
        <w:rPr>
          <w:rFonts w:hint="eastAsia" w:ascii="仿宋" w:hAnsi="仿宋" w:eastAsia="仿宋" w:cs="仿宋"/>
          <w:sz w:val="21"/>
          <w:szCs w:val="21"/>
        </w:rPr>
        <w:t>电源电压：单相220V±20％、三相380V±15％；</w:t>
      </w:r>
    </w:p>
    <w:p>
      <w:pPr>
        <w:numPr>
          <w:ilvl w:val="0"/>
          <w:numId w:val="3"/>
        </w:numPr>
        <w:tabs>
          <w:tab w:val="left" w:pos="1134"/>
        </w:tabs>
        <w:spacing w:line="240" w:lineRule="atLeast"/>
        <w:ind w:left="1134" w:hanging="399"/>
        <w:rPr>
          <w:rFonts w:hint="eastAsia" w:ascii="仿宋" w:hAnsi="仿宋" w:eastAsia="仿宋" w:cs="仿宋"/>
          <w:sz w:val="21"/>
          <w:szCs w:val="21"/>
        </w:rPr>
      </w:pPr>
      <w:r>
        <w:rPr>
          <w:rFonts w:hint="eastAsia" w:ascii="仿宋" w:hAnsi="仿宋" w:eastAsia="仿宋" w:cs="仿宋"/>
          <w:sz w:val="21"/>
          <w:szCs w:val="21"/>
        </w:rPr>
        <w:t>电源频率：50Hz±1Hz。</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24" w:name="_Toc5610"/>
      <w:bookmarkStart w:id="25" w:name="_Toc23341601"/>
      <w:r>
        <w:rPr>
          <w:rFonts w:hint="eastAsia" w:ascii="仿宋" w:hAnsi="仿宋" w:eastAsia="仿宋" w:cs="仿宋"/>
          <w:b/>
          <w:sz w:val="21"/>
          <w:szCs w:val="21"/>
        </w:rPr>
        <w:t>3.2.1.3额定电压</w:t>
      </w:r>
      <w:bookmarkEnd w:id="24"/>
      <w:bookmarkEnd w:id="25"/>
    </w:p>
    <w:p>
      <w:pPr>
        <w:tabs>
          <w:tab w:val="left" w:pos="1134"/>
        </w:tabs>
        <w:spacing w:line="240" w:lineRule="atLeast"/>
        <w:ind w:left="735"/>
        <w:rPr>
          <w:rFonts w:hint="eastAsia" w:ascii="仿宋" w:hAnsi="仿宋" w:eastAsia="仿宋" w:cs="仿宋"/>
          <w:sz w:val="21"/>
          <w:szCs w:val="21"/>
        </w:rPr>
      </w:pPr>
      <w:r>
        <w:rPr>
          <w:rFonts w:hint="eastAsia" w:ascii="仿宋" w:hAnsi="仿宋" w:eastAsia="仿宋" w:cs="仿宋"/>
          <w:sz w:val="21"/>
          <w:szCs w:val="21"/>
        </w:rPr>
        <w:t>单相220V、三相380V。</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26" w:name="_Toc22226"/>
      <w:bookmarkStart w:id="27" w:name="_Toc23341602"/>
      <w:r>
        <w:rPr>
          <w:rFonts w:hint="eastAsia" w:ascii="仿宋" w:hAnsi="仿宋" w:eastAsia="仿宋" w:cs="仿宋"/>
          <w:b/>
          <w:sz w:val="21"/>
          <w:szCs w:val="21"/>
        </w:rPr>
        <w:t>3.2.1.4额定电流</w:t>
      </w:r>
      <w:bookmarkEnd w:id="26"/>
      <w:bookmarkEnd w:id="27"/>
    </w:p>
    <w:p>
      <w:pPr>
        <w:tabs>
          <w:tab w:val="left" w:pos="1134"/>
        </w:tabs>
        <w:spacing w:line="240" w:lineRule="atLeast"/>
        <w:ind w:left="735"/>
        <w:rPr>
          <w:rFonts w:hint="eastAsia" w:ascii="仿宋" w:hAnsi="仿宋" w:eastAsia="仿宋" w:cs="仿宋"/>
          <w:sz w:val="21"/>
          <w:szCs w:val="21"/>
        </w:rPr>
      </w:pPr>
      <w:r>
        <w:rPr>
          <w:rFonts w:hint="eastAsia" w:ascii="仿宋" w:hAnsi="仿宋" w:eastAsia="仿宋" w:cs="仿宋"/>
          <w:sz w:val="21"/>
          <w:szCs w:val="21"/>
        </w:rPr>
        <w:t>16A，32A，63A。采用单相供电时，电流不大于32A。</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28" w:name="_Toc23341603"/>
      <w:bookmarkStart w:id="29" w:name="_Toc208"/>
      <w:r>
        <w:rPr>
          <w:rFonts w:hint="eastAsia" w:ascii="仿宋" w:hAnsi="仿宋" w:eastAsia="仿宋" w:cs="仿宋"/>
          <w:b/>
          <w:sz w:val="21"/>
          <w:szCs w:val="21"/>
        </w:rPr>
        <w:t>3.2.1.5结构形式</w:t>
      </w:r>
      <w:bookmarkEnd w:id="28"/>
      <w:bookmarkEnd w:id="29"/>
    </w:p>
    <w:p>
      <w:pPr>
        <w:numPr>
          <w:ilvl w:val="0"/>
          <w:numId w:val="4"/>
        </w:numPr>
        <w:tabs>
          <w:tab w:val="left" w:pos="1134"/>
        </w:tabs>
        <w:spacing w:line="240" w:lineRule="atLeast"/>
        <w:rPr>
          <w:rFonts w:hint="eastAsia" w:ascii="仿宋" w:hAnsi="仿宋" w:eastAsia="仿宋" w:cs="仿宋"/>
          <w:sz w:val="21"/>
          <w:szCs w:val="21"/>
        </w:rPr>
      </w:pPr>
      <w:r>
        <w:rPr>
          <w:rFonts w:hint="eastAsia" w:ascii="仿宋" w:hAnsi="仿宋" w:eastAsia="仿宋" w:cs="仿宋"/>
          <w:sz w:val="21"/>
          <w:szCs w:val="21"/>
        </w:rPr>
        <w:t>落地式充电桩：桩体采用落地安装方式；</w:t>
      </w:r>
    </w:p>
    <w:p>
      <w:pPr>
        <w:numPr>
          <w:ilvl w:val="0"/>
          <w:numId w:val="4"/>
        </w:numPr>
        <w:tabs>
          <w:tab w:val="left" w:pos="1134"/>
        </w:tabs>
        <w:spacing w:line="240" w:lineRule="atLeast"/>
        <w:ind w:left="1134" w:hanging="399"/>
        <w:rPr>
          <w:rFonts w:hint="eastAsia" w:ascii="仿宋" w:hAnsi="仿宋" w:eastAsia="仿宋" w:cs="仿宋"/>
          <w:sz w:val="21"/>
          <w:szCs w:val="21"/>
        </w:rPr>
      </w:pPr>
      <w:r>
        <w:rPr>
          <w:rFonts w:hint="eastAsia" w:ascii="仿宋" w:hAnsi="仿宋" w:eastAsia="仿宋" w:cs="仿宋"/>
          <w:sz w:val="21"/>
          <w:szCs w:val="21"/>
        </w:rPr>
        <w:t>壁挂式充电桩：桩体采用壁挂安装方式。</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30" w:name="_Toc10015"/>
      <w:bookmarkStart w:id="31" w:name="_Toc23341604"/>
      <w:r>
        <w:rPr>
          <w:rFonts w:hint="eastAsia" w:ascii="仿宋" w:hAnsi="仿宋" w:eastAsia="仿宋" w:cs="仿宋"/>
          <w:b/>
          <w:sz w:val="21"/>
          <w:szCs w:val="21"/>
        </w:rPr>
        <w:t>3.2.1.6输出形式</w:t>
      </w:r>
      <w:bookmarkEnd w:id="30"/>
      <w:bookmarkEnd w:id="31"/>
    </w:p>
    <w:p>
      <w:pPr>
        <w:pStyle w:val="4"/>
        <w:spacing w:line="240" w:lineRule="atLeast"/>
        <w:ind w:firstLine="630" w:firstLineChars="300"/>
        <w:rPr>
          <w:rFonts w:hint="eastAsia" w:ascii="仿宋" w:hAnsi="仿宋" w:eastAsia="仿宋" w:cs="仿宋"/>
          <w:bCs/>
          <w:sz w:val="21"/>
          <w:szCs w:val="21"/>
        </w:rPr>
      </w:pPr>
      <w:r>
        <w:rPr>
          <w:rFonts w:hint="eastAsia" w:ascii="仿宋" w:hAnsi="仿宋" w:eastAsia="仿宋" w:cs="仿宋"/>
          <w:bCs/>
          <w:sz w:val="21"/>
          <w:szCs w:val="21"/>
        </w:rPr>
        <w:t>每台交流充电桩配置1套交流充电接口。</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32" w:name="_Toc18441"/>
      <w:bookmarkStart w:id="33" w:name="_Toc23405139"/>
      <w:bookmarkStart w:id="34" w:name="_Toc1293"/>
      <w:bookmarkStart w:id="35" w:name="_Toc23341605"/>
      <w:bookmarkStart w:id="36" w:name="_Toc413504321"/>
      <w:bookmarkStart w:id="37" w:name="_Toc429000959"/>
      <w:bookmarkStart w:id="38" w:name="_Toc352274278"/>
      <w:r>
        <w:rPr>
          <w:rFonts w:hint="eastAsia" w:ascii="仿宋" w:hAnsi="仿宋" w:eastAsia="仿宋" w:cs="仿宋"/>
          <w:b/>
          <w:sz w:val="21"/>
          <w:szCs w:val="21"/>
        </w:rPr>
        <w:t>3.2.2功能要求</w:t>
      </w:r>
      <w:bookmarkEnd w:id="32"/>
      <w:bookmarkEnd w:id="33"/>
      <w:bookmarkEnd w:id="34"/>
      <w:bookmarkEnd w:id="35"/>
      <w:bookmarkEnd w:id="36"/>
      <w:bookmarkEnd w:id="37"/>
      <w:bookmarkEnd w:id="38"/>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39" w:name="_Toc23341606"/>
      <w:bookmarkStart w:id="40" w:name="_Toc26553"/>
      <w:bookmarkStart w:id="41" w:name="_Toc352274279"/>
      <w:r>
        <w:rPr>
          <w:rFonts w:hint="eastAsia" w:ascii="仿宋" w:hAnsi="仿宋" w:eastAsia="仿宋" w:cs="仿宋"/>
          <w:b/>
          <w:sz w:val="21"/>
          <w:szCs w:val="21"/>
        </w:rPr>
        <w:t>3.2.2.1充电控制器故障信息处理要求</w:t>
      </w:r>
      <w:bookmarkEnd w:id="39"/>
      <w:bookmarkEnd w:id="40"/>
    </w:p>
    <w:p>
      <w:pPr>
        <w:pStyle w:val="4"/>
        <w:tabs>
          <w:tab w:val="left" w:pos="1140"/>
        </w:tabs>
        <w:spacing w:line="276" w:lineRule="auto"/>
        <w:rPr>
          <w:rFonts w:hint="eastAsia" w:ascii="仿宋" w:hAnsi="仿宋" w:eastAsia="仿宋" w:cs="仿宋"/>
          <w:sz w:val="21"/>
          <w:szCs w:val="21"/>
        </w:rPr>
      </w:pPr>
      <w:r>
        <w:rPr>
          <w:rFonts w:hint="eastAsia" w:ascii="仿宋" w:hAnsi="仿宋" w:eastAsia="仿宋" w:cs="仿宋"/>
          <w:sz w:val="21"/>
          <w:szCs w:val="21"/>
        </w:rPr>
        <w:t>充电控制器应具备对交流接触器、避雷器等设备状态信息采集和处理功能。</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42" w:name="_Toc23341607"/>
      <w:bookmarkStart w:id="43" w:name="_Toc1941"/>
      <w:r>
        <w:rPr>
          <w:rFonts w:hint="eastAsia" w:ascii="仿宋" w:hAnsi="仿宋" w:eastAsia="仿宋" w:cs="仿宋"/>
          <w:b/>
          <w:sz w:val="21"/>
          <w:szCs w:val="21"/>
        </w:rPr>
        <w:t>3.2.2.2计量功能</w:t>
      </w:r>
      <w:bookmarkEnd w:id="42"/>
      <w:bookmarkEnd w:id="43"/>
    </w:p>
    <w:p>
      <w:pPr>
        <w:pStyle w:val="4"/>
        <w:tabs>
          <w:tab w:val="left" w:pos="1140"/>
        </w:tabs>
        <w:spacing w:line="276" w:lineRule="auto"/>
        <w:rPr>
          <w:rFonts w:hint="eastAsia" w:ascii="仿宋" w:hAnsi="仿宋" w:eastAsia="仿宋" w:cs="仿宋"/>
          <w:sz w:val="21"/>
          <w:szCs w:val="21"/>
        </w:rPr>
      </w:pPr>
      <w:r>
        <w:rPr>
          <w:rFonts w:hint="eastAsia" w:ascii="仿宋" w:hAnsi="仿宋" w:eastAsia="仿宋" w:cs="仿宋"/>
          <w:sz w:val="21"/>
          <w:szCs w:val="21"/>
        </w:rPr>
        <w:t>充电桩应配置智能电能表，具有对每个充电接口输出电能进行单独计量的功能。</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44" w:name="_Toc23341608"/>
      <w:bookmarkStart w:id="45" w:name="_Toc22699"/>
      <w:r>
        <w:rPr>
          <w:rFonts w:hint="eastAsia" w:ascii="仿宋" w:hAnsi="仿宋" w:eastAsia="仿宋" w:cs="仿宋"/>
          <w:b/>
          <w:sz w:val="21"/>
          <w:szCs w:val="21"/>
        </w:rPr>
        <w:t>3.2.2.3读卡功能</w:t>
      </w:r>
      <w:bookmarkEnd w:id="44"/>
      <w:r>
        <w:rPr>
          <w:rFonts w:hint="eastAsia" w:ascii="仿宋" w:hAnsi="仿宋" w:eastAsia="仿宋" w:cs="仿宋"/>
          <w:b/>
          <w:sz w:val="21"/>
          <w:szCs w:val="21"/>
        </w:rPr>
        <w:t>（按具体项目设计要求）</w:t>
      </w:r>
      <w:bookmarkEnd w:id="45"/>
    </w:p>
    <w:p>
      <w:pPr>
        <w:pStyle w:val="4"/>
        <w:tabs>
          <w:tab w:val="left" w:pos="1140"/>
        </w:tabs>
        <w:spacing w:line="276" w:lineRule="auto"/>
        <w:rPr>
          <w:rFonts w:hint="eastAsia" w:ascii="仿宋" w:hAnsi="仿宋" w:eastAsia="仿宋" w:cs="仿宋"/>
          <w:sz w:val="21"/>
          <w:szCs w:val="21"/>
        </w:rPr>
      </w:pPr>
      <w:r>
        <w:rPr>
          <w:rFonts w:hint="eastAsia" w:ascii="仿宋" w:hAnsi="仿宋" w:eastAsia="仿宋" w:cs="仿宋"/>
          <w:sz w:val="21"/>
          <w:szCs w:val="21"/>
        </w:rPr>
        <w:t>交流充电桩应配置CPU卡非接触式读卡器，感应距离不小于4CM，支持ISO14443协议，读卡器应具备RS232接口，工作电压：5V，最大功耗：≤700mW，自复位：内置看门狗，自带蜂鸣器，具备通信和电源指示灯。</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46" w:name="_Toc2841"/>
      <w:bookmarkStart w:id="47" w:name="_Toc23341609"/>
      <w:r>
        <w:rPr>
          <w:rFonts w:hint="eastAsia" w:ascii="仿宋" w:hAnsi="仿宋" w:eastAsia="仿宋" w:cs="仿宋"/>
          <w:b/>
          <w:sz w:val="21"/>
          <w:szCs w:val="21"/>
        </w:rPr>
        <w:t>3.2.2.4显示及输入功能</w:t>
      </w:r>
      <w:bookmarkEnd w:id="46"/>
      <w:bookmarkEnd w:id="47"/>
    </w:p>
    <w:p>
      <w:pPr>
        <w:pStyle w:val="4"/>
        <w:tabs>
          <w:tab w:val="left" w:pos="567"/>
        </w:tabs>
        <w:spacing w:after="161" w:line="276" w:lineRule="auto"/>
        <w:ind w:firstLineChars="0"/>
        <w:rPr>
          <w:rFonts w:hint="eastAsia" w:ascii="仿宋" w:hAnsi="仿宋" w:eastAsia="仿宋" w:cs="仿宋"/>
          <w:sz w:val="21"/>
          <w:szCs w:val="21"/>
        </w:rPr>
      </w:pPr>
      <w:r>
        <w:rPr>
          <w:rFonts w:hint="eastAsia" w:ascii="仿宋" w:hAnsi="仿宋" w:eastAsia="仿宋" w:cs="仿宋"/>
          <w:sz w:val="21"/>
          <w:szCs w:val="21"/>
        </w:rPr>
        <w:t>交流充电桩应具备显示功能，显示信息字符清晰、完整，应不依靠环境光源即可辨认。显示屏应能显示二维码，充电电量、单价及付费金额。</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48" w:name="_Toc23341610"/>
      <w:bookmarkStart w:id="49" w:name="_Toc7082"/>
      <w:r>
        <w:rPr>
          <w:rFonts w:hint="eastAsia" w:ascii="仿宋" w:hAnsi="仿宋" w:eastAsia="仿宋" w:cs="仿宋"/>
          <w:b/>
          <w:sz w:val="21"/>
          <w:szCs w:val="21"/>
        </w:rPr>
        <w:t>3.2.2.5蓝牙通信功能</w:t>
      </w:r>
      <w:bookmarkEnd w:id="48"/>
      <w:bookmarkStart w:id="50" w:name="_Hlk23367371"/>
      <w:r>
        <w:rPr>
          <w:rFonts w:hint="eastAsia" w:ascii="仿宋" w:hAnsi="仿宋" w:eastAsia="仿宋" w:cs="仿宋"/>
          <w:b/>
          <w:sz w:val="21"/>
          <w:szCs w:val="21"/>
        </w:rPr>
        <w:t>（按具体项目设计要求）</w:t>
      </w:r>
      <w:bookmarkEnd w:id="49"/>
      <w:bookmarkEnd w:id="50"/>
    </w:p>
    <w:p>
      <w:pPr>
        <w:pStyle w:val="4"/>
        <w:tabs>
          <w:tab w:val="left" w:pos="567"/>
        </w:tabs>
        <w:spacing w:before="161" w:after="161" w:line="276" w:lineRule="auto"/>
        <w:ind w:firstLineChars="0"/>
        <w:rPr>
          <w:rFonts w:hint="eastAsia" w:ascii="仿宋" w:hAnsi="仿宋" w:eastAsia="仿宋" w:cs="仿宋"/>
          <w:sz w:val="21"/>
          <w:szCs w:val="21"/>
        </w:rPr>
      </w:pPr>
      <w:r>
        <w:rPr>
          <w:rFonts w:hint="eastAsia" w:ascii="仿宋" w:hAnsi="仿宋" w:eastAsia="仿宋" w:cs="仿宋"/>
          <w:sz w:val="21"/>
          <w:szCs w:val="21"/>
        </w:rPr>
        <w:t>交流充电桩应配置蓝牙通信模块，支持蓝牙4.0及以上版本，蓝牙通信模块用于与用户手机通信，蓝牙通信模块支持通过RS232接口与计费控制单元通信。</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51" w:name="_Toc26517"/>
      <w:bookmarkStart w:id="52" w:name="_Toc23341611"/>
      <w:r>
        <w:rPr>
          <w:rFonts w:hint="eastAsia" w:ascii="仿宋" w:hAnsi="仿宋" w:eastAsia="仿宋" w:cs="仿宋"/>
          <w:b/>
          <w:sz w:val="21"/>
          <w:szCs w:val="21"/>
        </w:rPr>
        <w:t>3.2.2.6保护功能</w:t>
      </w:r>
      <w:bookmarkEnd w:id="51"/>
      <w:bookmarkEnd w:id="52"/>
    </w:p>
    <w:p>
      <w:pPr>
        <w:pStyle w:val="4"/>
        <w:tabs>
          <w:tab w:val="left" w:pos="567"/>
        </w:tabs>
        <w:spacing w:before="161" w:after="161" w:line="276" w:lineRule="auto"/>
        <w:ind w:firstLineChars="0"/>
        <w:rPr>
          <w:rFonts w:hint="eastAsia" w:ascii="仿宋" w:hAnsi="仿宋" w:eastAsia="仿宋" w:cs="仿宋"/>
          <w:sz w:val="21"/>
          <w:szCs w:val="21"/>
        </w:rPr>
      </w:pPr>
      <w:r>
        <w:rPr>
          <w:rFonts w:hint="eastAsia" w:ascii="仿宋" w:hAnsi="仿宋" w:eastAsia="仿宋" w:cs="仿宋"/>
          <w:sz w:val="21"/>
          <w:szCs w:val="21"/>
        </w:rPr>
        <w:t>充电桩的安全性要求应满足GB/T 18487.1-2015附录A中对应的描述和要求。</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a</w:t>
      </w:r>
      <w:r>
        <w:rPr>
          <w:rFonts w:hint="eastAsia" w:ascii="仿宋" w:hAnsi="仿宋" w:eastAsia="仿宋" w:cs="仿宋"/>
          <w:sz w:val="21"/>
          <w:szCs w:val="21"/>
          <w:lang w:eastAsia="zh-CN"/>
        </w:rPr>
        <w:t>）</w:t>
      </w:r>
      <w:r>
        <w:rPr>
          <w:rFonts w:hint="eastAsia" w:ascii="仿宋" w:hAnsi="仿宋" w:eastAsia="仿宋" w:cs="仿宋"/>
          <w:sz w:val="21"/>
          <w:szCs w:val="21"/>
        </w:rPr>
        <w:t>充电桩的电源回路应具备带负载可分合的开关电器。</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b）</w:t>
      </w:r>
      <w:r>
        <w:rPr>
          <w:rFonts w:hint="eastAsia" w:ascii="仿宋" w:hAnsi="仿宋" w:eastAsia="仿宋" w:cs="仿宋"/>
          <w:sz w:val="21"/>
          <w:szCs w:val="21"/>
        </w:rPr>
        <w:t>充电桩的电源回路应安装过载、短路、漏电保护装置。</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c）</w:t>
      </w:r>
      <w:r>
        <w:rPr>
          <w:rFonts w:hint="eastAsia" w:ascii="仿宋" w:hAnsi="仿宋" w:eastAsia="仿宋" w:cs="仿宋"/>
          <w:sz w:val="21"/>
          <w:szCs w:val="21"/>
        </w:rPr>
        <w:t>充电桩的电源回路应安装D级防雷装置。</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d）</w:t>
      </w:r>
      <w:r>
        <w:rPr>
          <w:rFonts w:hint="eastAsia" w:ascii="仿宋" w:hAnsi="仿宋" w:eastAsia="仿宋" w:cs="仿宋"/>
          <w:sz w:val="21"/>
          <w:szCs w:val="21"/>
        </w:rPr>
        <w:t>充电桩应具备急停开关，能实现在充电过程中100ms内紧急切断输出电源。</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e）</w:t>
      </w:r>
      <w:r>
        <w:rPr>
          <w:rFonts w:hint="eastAsia" w:ascii="仿宋" w:hAnsi="仿宋" w:eastAsia="仿宋" w:cs="仿宋"/>
          <w:sz w:val="21"/>
          <w:szCs w:val="21"/>
        </w:rPr>
        <w:t>在充电过程中出现连接异常时，充电桩应立即（100ms内）自动切断输出电源。</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f）</w:t>
      </w:r>
      <w:r>
        <w:rPr>
          <w:rFonts w:hint="eastAsia" w:ascii="仿宋" w:hAnsi="仿宋" w:eastAsia="仿宋" w:cs="仿宋"/>
          <w:sz w:val="21"/>
          <w:szCs w:val="21"/>
        </w:rPr>
        <w:t>在停止充电时，充电桩应保证输出电源回路处于断开状态。</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g）</w:t>
      </w:r>
      <w:r>
        <w:rPr>
          <w:rFonts w:hint="eastAsia" w:ascii="仿宋" w:hAnsi="仿宋" w:eastAsia="仿宋" w:cs="仿宋"/>
          <w:sz w:val="21"/>
          <w:szCs w:val="21"/>
        </w:rPr>
        <w:t>额定充电电流大于16A的充电桩，供电插座应设置温度监控装置，供电设备应具备温度监测和过温保护功能。</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h）</w:t>
      </w:r>
      <w:r>
        <w:rPr>
          <w:rFonts w:hint="eastAsia" w:ascii="仿宋" w:hAnsi="仿宋" w:eastAsia="仿宋" w:cs="仿宋"/>
          <w:sz w:val="21"/>
          <w:szCs w:val="21"/>
        </w:rPr>
        <w:t>剩余电流保护器应采用A型或B型。</w:t>
      </w:r>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i）</w:t>
      </w:r>
      <w:r>
        <w:rPr>
          <w:rFonts w:hint="eastAsia" w:ascii="仿宋" w:hAnsi="仿宋" w:eastAsia="仿宋" w:cs="仿宋"/>
          <w:sz w:val="21"/>
          <w:szCs w:val="21"/>
        </w:rPr>
        <w:t>充电桩应具备开门保护功能。当充电桩门打开时，应切断充电桩的电源输出。</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53" w:name="_Toc27499"/>
      <w:bookmarkStart w:id="54" w:name="_Toc23341612"/>
      <w:r>
        <w:rPr>
          <w:rFonts w:hint="eastAsia" w:ascii="仿宋" w:hAnsi="仿宋" w:eastAsia="仿宋" w:cs="仿宋"/>
          <w:b/>
          <w:sz w:val="21"/>
          <w:szCs w:val="21"/>
        </w:rPr>
        <w:t>3.2.2.7自检功能</w:t>
      </w:r>
      <w:bookmarkEnd w:id="53"/>
      <w:bookmarkEnd w:id="54"/>
    </w:p>
    <w:p>
      <w:pPr>
        <w:pStyle w:val="4"/>
        <w:tabs>
          <w:tab w:val="left" w:pos="567"/>
        </w:tabs>
        <w:spacing w:before="161" w:after="161" w:line="240" w:lineRule="atLeast"/>
        <w:ind w:firstLineChars="0"/>
        <w:rPr>
          <w:rFonts w:hint="eastAsia" w:ascii="仿宋" w:hAnsi="仿宋" w:eastAsia="仿宋" w:cs="仿宋"/>
          <w:sz w:val="21"/>
          <w:szCs w:val="21"/>
        </w:rPr>
      </w:pPr>
      <w:r>
        <w:rPr>
          <w:rFonts w:hint="eastAsia" w:ascii="仿宋" w:hAnsi="仿宋" w:eastAsia="仿宋" w:cs="仿宋"/>
          <w:sz w:val="21"/>
          <w:szCs w:val="21"/>
        </w:rPr>
        <w:t>充电桩应具备自检及故障报警功能。</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55" w:name="_Toc18386"/>
      <w:bookmarkStart w:id="56" w:name="_Toc23341613"/>
      <w:r>
        <w:rPr>
          <w:rFonts w:hint="eastAsia" w:ascii="仿宋" w:hAnsi="仿宋" w:eastAsia="仿宋" w:cs="仿宋"/>
          <w:b/>
          <w:sz w:val="21"/>
          <w:szCs w:val="21"/>
        </w:rPr>
        <w:t>3.2.2.8锁止功能</w:t>
      </w:r>
      <w:bookmarkEnd w:id="55"/>
      <w:bookmarkEnd w:id="56"/>
    </w:p>
    <w:p>
      <w:pPr>
        <w:pStyle w:val="4"/>
        <w:tabs>
          <w:tab w:val="left" w:pos="567"/>
        </w:tabs>
        <w:spacing w:before="161" w:after="161" w:line="276" w:lineRule="auto"/>
        <w:ind w:firstLineChars="0"/>
        <w:rPr>
          <w:rFonts w:hint="eastAsia" w:ascii="仿宋" w:hAnsi="仿宋" w:eastAsia="仿宋" w:cs="仿宋"/>
          <w:sz w:val="21"/>
          <w:szCs w:val="21"/>
        </w:rPr>
      </w:pPr>
      <w:r>
        <w:rPr>
          <w:rFonts w:hint="eastAsia" w:ascii="仿宋" w:hAnsi="仿宋" w:eastAsia="仿宋" w:cs="仿宋"/>
          <w:sz w:val="21"/>
          <w:szCs w:val="21"/>
        </w:rPr>
        <w:t>交流充电电流大于16A时，供电接口插座应安装电子锁止装置，具有锁止功能，该锁止功能应符合GB/T20234.1的相关要求。防止充电过程中的意外断开。当电子锁未可靠锁止时，供电设备或电动汽车应停止充电或不启动充电。</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57" w:name="_Toc413504322"/>
      <w:bookmarkStart w:id="58" w:name="_Toc25550"/>
      <w:bookmarkStart w:id="59" w:name="_Toc429000960"/>
      <w:bookmarkStart w:id="60" w:name="_Toc23405140"/>
      <w:bookmarkStart w:id="61" w:name="_Toc23341614"/>
      <w:bookmarkStart w:id="62" w:name="_Toc24278"/>
      <w:r>
        <w:rPr>
          <w:rFonts w:hint="eastAsia" w:ascii="仿宋" w:hAnsi="仿宋" w:eastAsia="仿宋" w:cs="仿宋"/>
          <w:b/>
          <w:sz w:val="21"/>
          <w:szCs w:val="21"/>
        </w:rPr>
        <w:t>3.2.3性能要求</w:t>
      </w:r>
      <w:bookmarkEnd w:id="41"/>
      <w:bookmarkEnd w:id="57"/>
      <w:bookmarkEnd w:id="58"/>
      <w:bookmarkEnd w:id="59"/>
      <w:bookmarkEnd w:id="60"/>
      <w:bookmarkEnd w:id="61"/>
      <w:bookmarkEnd w:id="62"/>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63" w:name="_Toc23341615"/>
      <w:bookmarkStart w:id="64" w:name="_Toc10578"/>
      <w:bookmarkStart w:id="65" w:name="_Toc352274280"/>
      <w:r>
        <w:rPr>
          <w:rFonts w:hint="eastAsia" w:ascii="仿宋" w:hAnsi="仿宋" w:eastAsia="仿宋" w:cs="仿宋"/>
          <w:b/>
          <w:sz w:val="21"/>
          <w:szCs w:val="21"/>
        </w:rPr>
        <w:t>3.2.3.1环境防护要求</w:t>
      </w:r>
      <w:bookmarkEnd w:id="63"/>
      <w:bookmarkEnd w:id="64"/>
    </w:p>
    <w:p>
      <w:pPr>
        <w:numPr>
          <w:ilvl w:val="0"/>
          <w:numId w:val="0"/>
        </w:numPr>
        <w:tabs>
          <w:tab w:val="left" w:pos="1134"/>
        </w:tabs>
        <w:spacing w:line="276" w:lineRule="auto"/>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a</w:t>
      </w:r>
      <w:r>
        <w:rPr>
          <w:rFonts w:hint="eastAsia" w:ascii="仿宋" w:hAnsi="仿宋" w:eastAsia="仿宋" w:cs="仿宋"/>
          <w:sz w:val="21"/>
          <w:szCs w:val="21"/>
          <w:lang w:eastAsia="zh-CN"/>
        </w:rPr>
        <w:t>）</w:t>
      </w:r>
      <w:r>
        <w:rPr>
          <w:rFonts w:hint="eastAsia" w:ascii="仿宋" w:hAnsi="仿宋" w:eastAsia="仿宋" w:cs="仿宋"/>
          <w:sz w:val="21"/>
          <w:szCs w:val="21"/>
        </w:rPr>
        <w:t>IP防护等级：充电桩外壳防护等级不应低于GB 4208中IP32（室内）或IP54（室外）的规定。</w:t>
      </w:r>
    </w:p>
    <w:p>
      <w:pPr>
        <w:numPr>
          <w:ilvl w:val="0"/>
          <w:numId w:val="0"/>
        </w:numPr>
        <w:tabs>
          <w:tab w:val="left" w:pos="1134"/>
        </w:tabs>
        <w:spacing w:line="276" w:lineRule="auto"/>
        <w:ind w:firstLine="420" w:firstLineChars="200"/>
        <w:rPr>
          <w:rFonts w:hint="eastAsia" w:ascii="仿宋" w:hAnsi="仿宋" w:eastAsia="仿宋" w:cs="仿宋"/>
          <w:sz w:val="21"/>
          <w:szCs w:val="21"/>
        </w:rPr>
      </w:pPr>
      <w:bookmarkStart w:id="66" w:name="_Toc179863361"/>
      <w:r>
        <w:rPr>
          <w:rFonts w:hint="eastAsia" w:ascii="仿宋" w:hAnsi="仿宋" w:eastAsia="仿宋" w:cs="仿宋"/>
          <w:sz w:val="21"/>
          <w:szCs w:val="21"/>
          <w:lang w:val="en-US" w:eastAsia="zh-CN"/>
        </w:rPr>
        <w:t>b</w:t>
      </w:r>
      <w:r>
        <w:rPr>
          <w:rFonts w:hint="eastAsia" w:ascii="仿宋" w:hAnsi="仿宋" w:eastAsia="仿宋" w:cs="仿宋"/>
          <w:sz w:val="21"/>
          <w:szCs w:val="21"/>
          <w:lang w:eastAsia="zh-CN"/>
        </w:rPr>
        <w:t>）</w:t>
      </w:r>
      <w:r>
        <w:rPr>
          <w:rFonts w:hint="eastAsia" w:ascii="仿宋" w:hAnsi="仿宋" w:eastAsia="仿宋" w:cs="仿宋"/>
          <w:sz w:val="21"/>
          <w:szCs w:val="21"/>
        </w:rPr>
        <w:t>三防(防潮湿，防霉变，防盐雾)保护</w:t>
      </w:r>
      <w:bookmarkEnd w:id="66"/>
      <w:r>
        <w:rPr>
          <w:rFonts w:hint="eastAsia" w:ascii="仿宋" w:hAnsi="仿宋" w:eastAsia="仿宋" w:cs="仿宋"/>
          <w:sz w:val="21"/>
          <w:szCs w:val="21"/>
        </w:rPr>
        <w:t>：充电桩内印刷线路板、接插件等电路应具有防潮湿、防霉变、防盐雾处理，保证充电桩在潮湿、盐雾环境下正常运行。</w:t>
      </w:r>
    </w:p>
    <w:p>
      <w:pPr>
        <w:numPr>
          <w:ilvl w:val="0"/>
          <w:numId w:val="0"/>
        </w:numPr>
        <w:tabs>
          <w:tab w:val="left" w:pos="1134"/>
        </w:tabs>
        <w:spacing w:line="276" w:lineRule="auto"/>
        <w:ind w:firstLine="420" w:firstLineChars="200"/>
        <w:rPr>
          <w:rFonts w:hint="eastAsia" w:ascii="仿宋" w:hAnsi="仿宋" w:eastAsia="仿宋" w:cs="仿宋"/>
          <w:sz w:val="21"/>
          <w:szCs w:val="21"/>
        </w:rPr>
      </w:pPr>
      <w:bookmarkStart w:id="67" w:name="_Toc179863362"/>
      <w:r>
        <w:rPr>
          <w:rFonts w:hint="eastAsia" w:ascii="仿宋" w:hAnsi="仿宋" w:eastAsia="仿宋" w:cs="仿宋"/>
          <w:sz w:val="21"/>
          <w:szCs w:val="21"/>
          <w:lang w:val="en-US" w:eastAsia="zh-CN"/>
        </w:rPr>
        <w:t>c</w:t>
      </w:r>
      <w:r>
        <w:rPr>
          <w:rFonts w:hint="eastAsia" w:ascii="仿宋" w:hAnsi="仿宋" w:eastAsia="仿宋" w:cs="仿宋"/>
          <w:sz w:val="21"/>
          <w:szCs w:val="21"/>
          <w:lang w:eastAsia="zh-CN"/>
        </w:rPr>
        <w:t>）</w:t>
      </w:r>
      <w:r>
        <w:rPr>
          <w:rFonts w:hint="eastAsia" w:ascii="仿宋" w:hAnsi="仿宋" w:eastAsia="仿宋" w:cs="仿宋"/>
          <w:sz w:val="21"/>
          <w:szCs w:val="21"/>
        </w:rPr>
        <w:t>防锈(防氧化)保护</w:t>
      </w:r>
      <w:bookmarkEnd w:id="67"/>
      <w:r>
        <w:rPr>
          <w:rFonts w:hint="eastAsia" w:ascii="仿宋" w:hAnsi="仿宋" w:eastAsia="仿宋" w:cs="仿宋"/>
          <w:sz w:val="21"/>
          <w:szCs w:val="21"/>
        </w:rPr>
        <w:t>：充电桩铁质外壳和暴露的铁质支架、零件应采用双层防锈措施，非铁质的金属外壳也应具有防氧化保护膜或防氧化处理。</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68" w:name="_Toc7856"/>
      <w:bookmarkStart w:id="69" w:name="_Toc23341616"/>
      <w:r>
        <w:rPr>
          <w:rFonts w:hint="eastAsia" w:ascii="仿宋" w:hAnsi="仿宋" w:eastAsia="仿宋" w:cs="仿宋"/>
          <w:b/>
          <w:sz w:val="21"/>
          <w:szCs w:val="21"/>
        </w:rPr>
        <w:t>3.2.3.2电击防护要求</w:t>
      </w:r>
      <w:bookmarkEnd w:id="68"/>
      <w:bookmarkEnd w:id="69"/>
    </w:p>
    <w:p>
      <w:pPr>
        <w:pStyle w:val="4"/>
        <w:tabs>
          <w:tab w:val="left" w:pos="1140"/>
        </w:tabs>
        <w:spacing w:line="240" w:lineRule="atLeast"/>
        <w:rPr>
          <w:rFonts w:hint="eastAsia" w:ascii="仿宋" w:hAnsi="仿宋" w:eastAsia="仿宋" w:cs="仿宋"/>
          <w:sz w:val="21"/>
          <w:szCs w:val="21"/>
        </w:rPr>
      </w:pPr>
      <w:r>
        <w:rPr>
          <w:rFonts w:hint="eastAsia" w:ascii="仿宋" w:hAnsi="仿宋" w:eastAsia="仿宋" w:cs="仿宋"/>
          <w:sz w:val="21"/>
          <w:szCs w:val="21"/>
        </w:rPr>
        <w:t>充电桩的电击防护要求应符合GB/T 18487.1-2001中第9章的要求。</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70" w:name="_Toc23341617"/>
      <w:bookmarkStart w:id="71" w:name="_Toc30161"/>
      <w:r>
        <w:rPr>
          <w:rFonts w:hint="eastAsia" w:ascii="仿宋" w:hAnsi="仿宋" w:eastAsia="仿宋" w:cs="仿宋"/>
          <w:b/>
          <w:sz w:val="21"/>
          <w:szCs w:val="21"/>
        </w:rPr>
        <w:t>3.2.3.3电气间隙和爬电距离</w:t>
      </w:r>
      <w:bookmarkEnd w:id="70"/>
      <w:bookmarkEnd w:id="71"/>
    </w:p>
    <w:p>
      <w:pPr>
        <w:pStyle w:val="4"/>
        <w:tabs>
          <w:tab w:val="left" w:pos="1140"/>
        </w:tabs>
        <w:spacing w:line="240" w:lineRule="atLeast"/>
        <w:rPr>
          <w:rFonts w:hint="eastAsia" w:ascii="仿宋" w:hAnsi="仿宋" w:eastAsia="仿宋" w:cs="仿宋"/>
          <w:kern w:val="0"/>
          <w:sz w:val="21"/>
          <w:szCs w:val="21"/>
        </w:rPr>
      </w:pPr>
      <w:r>
        <w:rPr>
          <w:rFonts w:hint="eastAsia" w:ascii="仿宋" w:hAnsi="仿宋" w:eastAsia="仿宋" w:cs="仿宋"/>
          <w:sz w:val="21"/>
          <w:szCs w:val="21"/>
        </w:rPr>
        <w:t>充电桩的电气间隙和爬电距离应符合GB/T 18487.1-2015中10.4节的规定。</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72" w:name="_Toc23341618"/>
      <w:bookmarkStart w:id="73" w:name="_Toc27055"/>
      <w:r>
        <w:rPr>
          <w:rFonts w:hint="eastAsia" w:ascii="仿宋" w:hAnsi="仿宋" w:eastAsia="仿宋" w:cs="仿宋"/>
          <w:b/>
          <w:sz w:val="21"/>
          <w:szCs w:val="21"/>
        </w:rPr>
        <w:t>3.2.3.4绝缘性能要求</w:t>
      </w:r>
      <w:bookmarkEnd w:id="72"/>
      <w:bookmarkEnd w:id="73"/>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f</w:t>
      </w:r>
      <w:r>
        <w:rPr>
          <w:rFonts w:hint="eastAsia" w:ascii="仿宋" w:hAnsi="仿宋" w:eastAsia="仿宋" w:cs="仿宋"/>
          <w:sz w:val="21"/>
          <w:szCs w:val="21"/>
          <w:lang w:eastAsia="zh-CN"/>
        </w:rPr>
        <w:t>）</w:t>
      </w:r>
      <w:r>
        <w:rPr>
          <w:rFonts w:hint="eastAsia" w:ascii="仿宋" w:hAnsi="仿宋" w:eastAsia="仿宋" w:cs="仿宋"/>
          <w:sz w:val="21"/>
          <w:szCs w:val="21"/>
        </w:rPr>
        <w:t>绝缘电阻：用开路电压为表2规定电压的测试仪器测量，充电桩非电气连接的各带电回路之间、各独立带电回路与地（金属外壳）之间绝缘电阻应大于等于10MΩ。</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g</w:t>
      </w:r>
      <w:r>
        <w:rPr>
          <w:rFonts w:hint="eastAsia" w:ascii="仿宋" w:hAnsi="仿宋" w:eastAsia="仿宋" w:cs="仿宋"/>
          <w:sz w:val="21"/>
          <w:szCs w:val="21"/>
          <w:lang w:eastAsia="zh-CN"/>
        </w:rPr>
        <w:t>）</w:t>
      </w:r>
      <w:r>
        <w:rPr>
          <w:rFonts w:hint="eastAsia" w:ascii="仿宋" w:hAnsi="仿宋" w:eastAsia="仿宋" w:cs="仿宋"/>
          <w:sz w:val="21"/>
          <w:szCs w:val="21"/>
        </w:rPr>
        <w:t>工频耐压：充电桩非电气连接的各带电回路之间、各独立带电回路与地（金属外壳）之间，按其工作电压应能承受表2所规定历时1min的工频耐压试验（也可采用直流电压，试验电压为交流电压有效值的1.4倍）。试验过程中应无绝缘击穿和闪络现象。</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h</w:t>
      </w:r>
      <w:r>
        <w:rPr>
          <w:rFonts w:hint="eastAsia" w:ascii="仿宋" w:hAnsi="仿宋" w:eastAsia="仿宋" w:cs="仿宋"/>
          <w:sz w:val="21"/>
          <w:szCs w:val="21"/>
          <w:lang w:eastAsia="zh-CN"/>
        </w:rPr>
        <w:t>）</w:t>
      </w:r>
      <w:r>
        <w:rPr>
          <w:rFonts w:hint="eastAsia" w:ascii="仿宋" w:hAnsi="仿宋" w:eastAsia="仿宋" w:cs="仿宋"/>
          <w:sz w:val="21"/>
          <w:szCs w:val="21"/>
        </w:rPr>
        <w:t>冲击电压：充电桩各带电回路、各带电电路对地（金属外壳）之间，按其工作电压应能承受表3所规定标准雷电波的短时冲击电压试验。试验过程中应无击穿放电。</w:t>
      </w:r>
    </w:p>
    <w:p>
      <w:pPr>
        <w:widowControl/>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表7  绝缘试验的试验等级</w:t>
      </w:r>
    </w:p>
    <w:tbl>
      <w:tblPr>
        <w:tblStyle w:val="10"/>
        <w:tblW w:w="9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2155"/>
        <w:gridCol w:w="2728"/>
        <w:gridCol w:w="2155"/>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155" w:type="dxa"/>
            <w:noWrap w:val="0"/>
            <w:vAlign w:val="center"/>
          </w:tcPr>
          <w:p>
            <w:pPr>
              <w:autoSpaceDE w:val="0"/>
              <w:autoSpaceDN w:val="0"/>
              <w:adjustRightInd w:val="0"/>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额定绝缘电压Ui</w:t>
            </w:r>
          </w:p>
          <w:p>
            <w:pPr>
              <w:autoSpaceDE w:val="0"/>
              <w:autoSpaceDN w:val="0"/>
              <w:adjustRightInd w:val="0"/>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（V）</w:t>
            </w:r>
          </w:p>
        </w:tc>
        <w:tc>
          <w:tcPr>
            <w:tcW w:w="2728" w:type="dxa"/>
            <w:noWrap w:val="0"/>
            <w:vAlign w:val="center"/>
          </w:tcPr>
          <w:p>
            <w:pPr>
              <w:autoSpaceDE w:val="0"/>
              <w:autoSpaceDN w:val="0"/>
              <w:adjustRightInd w:val="0"/>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绝缘电阻测试仪器的电压等级</w:t>
            </w:r>
          </w:p>
          <w:p>
            <w:pPr>
              <w:autoSpaceDE w:val="0"/>
              <w:autoSpaceDN w:val="0"/>
              <w:adjustRightInd w:val="0"/>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（V）</w:t>
            </w:r>
          </w:p>
        </w:tc>
        <w:tc>
          <w:tcPr>
            <w:tcW w:w="2155" w:type="dxa"/>
            <w:noWrap w:val="0"/>
            <w:vAlign w:val="center"/>
          </w:tcPr>
          <w:p>
            <w:pPr>
              <w:autoSpaceDE w:val="0"/>
              <w:autoSpaceDN w:val="0"/>
              <w:adjustRightInd w:val="0"/>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工频耐压试验电压</w:t>
            </w:r>
          </w:p>
          <w:p>
            <w:pPr>
              <w:autoSpaceDE w:val="0"/>
              <w:autoSpaceDN w:val="0"/>
              <w:adjustRightInd w:val="0"/>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（kV）</w:t>
            </w:r>
          </w:p>
        </w:tc>
        <w:tc>
          <w:tcPr>
            <w:tcW w:w="1978" w:type="dxa"/>
            <w:noWrap w:val="0"/>
            <w:vAlign w:val="center"/>
          </w:tcPr>
          <w:p>
            <w:pPr>
              <w:autoSpaceDE w:val="0"/>
              <w:autoSpaceDN w:val="0"/>
              <w:adjustRightInd w:val="0"/>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冲击耐压试验电压</w:t>
            </w:r>
          </w:p>
          <w:p>
            <w:pPr>
              <w:autoSpaceDE w:val="0"/>
              <w:autoSpaceDN w:val="0"/>
              <w:adjustRightInd w:val="0"/>
              <w:spacing w:line="240" w:lineRule="atLeast"/>
              <w:jc w:val="center"/>
              <w:rPr>
                <w:rFonts w:hint="eastAsia" w:ascii="仿宋" w:hAnsi="仿宋" w:eastAsia="仿宋" w:cs="仿宋"/>
                <w:kern w:val="0"/>
                <w:sz w:val="21"/>
                <w:szCs w:val="21"/>
              </w:rPr>
            </w:pPr>
            <w:r>
              <w:rPr>
                <w:rFonts w:hint="eastAsia" w:ascii="仿宋" w:hAnsi="仿宋" w:eastAsia="仿宋" w:cs="仿宋"/>
                <w:kern w:val="0"/>
                <w:sz w:val="21"/>
                <w:szCs w:val="21"/>
              </w:rPr>
              <w:t>（kV）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155"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≤60</w:t>
            </w:r>
          </w:p>
        </w:tc>
        <w:tc>
          <w:tcPr>
            <w:tcW w:w="2728"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250</w:t>
            </w:r>
          </w:p>
        </w:tc>
        <w:tc>
          <w:tcPr>
            <w:tcW w:w="2155"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1.0（1.4）</w:t>
            </w:r>
          </w:p>
        </w:tc>
        <w:tc>
          <w:tcPr>
            <w:tcW w:w="1978"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155"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60＜Ui≤300</w:t>
            </w:r>
          </w:p>
        </w:tc>
        <w:tc>
          <w:tcPr>
            <w:tcW w:w="2728"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500</w:t>
            </w:r>
          </w:p>
        </w:tc>
        <w:tc>
          <w:tcPr>
            <w:tcW w:w="2155"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2.0（2.8）</w:t>
            </w:r>
          </w:p>
        </w:tc>
        <w:tc>
          <w:tcPr>
            <w:tcW w:w="1978"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2155"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300＜Ui≤700</w:t>
            </w:r>
          </w:p>
        </w:tc>
        <w:tc>
          <w:tcPr>
            <w:tcW w:w="2728"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1000</w:t>
            </w:r>
          </w:p>
        </w:tc>
        <w:tc>
          <w:tcPr>
            <w:tcW w:w="2155"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2.5（3.5）</w:t>
            </w:r>
          </w:p>
        </w:tc>
        <w:tc>
          <w:tcPr>
            <w:tcW w:w="1978" w:type="dxa"/>
            <w:noWrap w:val="0"/>
            <w:vAlign w:val="center"/>
          </w:tcPr>
          <w:p>
            <w:pPr>
              <w:spacing w:line="240" w:lineRule="atLeast"/>
              <w:jc w:val="center"/>
              <w:rPr>
                <w:rFonts w:hint="eastAsia" w:ascii="仿宋" w:hAnsi="仿宋" w:eastAsia="仿宋" w:cs="仿宋"/>
                <w:sz w:val="21"/>
                <w:szCs w:val="21"/>
              </w:rPr>
            </w:pPr>
            <w:r>
              <w:rPr>
                <w:rFonts w:hint="eastAsia" w:ascii="仿宋" w:hAnsi="仿宋" w:eastAsia="仿宋" w:cs="仿宋"/>
                <w:sz w:val="2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016" w:type="dxa"/>
            <w:gridSpan w:val="4"/>
            <w:noWrap w:val="0"/>
            <w:vAlign w:val="center"/>
          </w:tcPr>
          <w:p>
            <w:pPr>
              <w:spacing w:line="240" w:lineRule="atLeast"/>
              <w:rPr>
                <w:rFonts w:hint="eastAsia" w:ascii="仿宋" w:hAnsi="仿宋" w:eastAsia="仿宋" w:cs="仿宋"/>
                <w:sz w:val="21"/>
                <w:szCs w:val="21"/>
              </w:rPr>
            </w:pPr>
            <w:r>
              <w:rPr>
                <w:rFonts w:hint="eastAsia" w:ascii="仿宋" w:hAnsi="仿宋" w:eastAsia="仿宋" w:cs="仿宋"/>
                <w:sz w:val="21"/>
                <w:szCs w:val="21"/>
              </w:rPr>
              <w:t>注：括号内数据为直流介质强度试验值。</w:t>
            </w:r>
          </w:p>
        </w:tc>
      </w:tr>
    </w:tbl>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74" w:name="_Toc1415"/>
      <w:bookmarkStart w:id="75" w:name="_Toc23341619"/>
      <w:r>
        <w:rPr>
          <w:rFonts w:hint="eastAsia" w:ascii="仿宋" w:hAnsi="仿宋" w:eastAsia="仿宋" w:cs="仿宋"/>
          <w:b/>
          <w:sz w:val="21"/>
          <w:szCs w:val="21"/>
        </w:rPr>
        <w:t>3.2.3.5高低温和湿热性能</w:t>
      </w:r>
      <w:bookmarkEnd w:id="74"/>
      <w:bookmarkEnd w:id="75"/>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a</w:t>
      </w:r>
      <w:r>
        <w:rPr>
          <w:rFonts w:hint="eastAsia" w:ascii="仿宋" w:hAnsi="仿宋" w:eastAsia="仿宋" w:cs="仿宋"/>
          <w:sz w:val="21"/>
          <w:szCs w:val="21"/>
          <w:lang w:eastAsia="zh-CN"/>
        </w:rPr>
        <w:t>）</w:t>
      </w:r>
      <w:r>
        <w:rPr>
          <w:rFonts w:hint="eastAsia" w:ascii="仿宋" w:hAnsi="仿宋" w:eastAsia="仿宋" w:cs="仿宋"/>
          <w:sz w:val="21"/>
          <w:szCs w:val="21"/>
        </w:rPr>
        <w:t>低温性能：按GB/T 2423.1-2008中试验Ad规定的方法进行试验，试验温度为2.2.1规定的下限值，待达到试验温度后启动充电桩，充电桩应能正常工作。试验温度持续2小时后，在试验环境下通电检查充电桩各项功能应正常。</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b</w:t>
      </w:r>
      <w:r>
        <w:rPr>
          <w:rFonts w:hint="eastAsia" w:ascii="仿宋" w:hAnsi="仿宋" w:eastAsia="仿宋" w:cs="仿宋"/>
          <w:sz w:val="21"/>
          <w:szCs w:val="21"/>
          <w:lang w:eastAsia="zh-CN"/>
        </w:rPr>
        <w:t>）</w:t>
      </w:r>
      <w:r>
        <w:rPr>
          <w:rFonts w:hint="eastAsia" w:ascii="仿宋" w:hAnsi="仿宋" w:eastAsia="仿宋" w:cs="仿宋"/>
          <w:sz w:val="21"/>
          <w:szCs w:val="21"/>
        </w:rPr>
        <w:t>高温性能：按GB/T 2423.2-2008中试验Bd规定的方法进行试验，试验温度为2.2.1规定的上限值，待达到试验温度后启动充电桩，充电桩应能正常工作。试验温度持续2小时后，在试验环境下通电检查充电桩各项功能应正常。</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eastAsia" w:ascii="仿宋" w:hAnsi="仿宋" w:eastAsia="仿宋" w:cs="仿宋"/>
          <w:sz w:val="21"/>
          <w:szCs w:val="21"/>
          <w:lang w:val="en-US" w:eastAsia="zh-CN"/>
        </w:rPr>
        <w:t>c</w:t>
      </w:r>
      <w:r>
        <w:rPr>
          <w:rFonts w:hint="eastAsia" w:ascii="仿宋" w:hAnsi="仿宋" w:eastAsia="仿宋" w:cs="仿宋"/>
          <w:sz w:val="21"/>
          <w:szCs w:val="21"/>
          <w:lang w:eastAsia="zh-CN"/>
        </w:rPr>
        <w:t>）</w:t>
      </w:r>
      <w:r>
        <w:rPr>
          <w:rFonts w:hint="eastAsia" w:ascii="仿宋" w:hAnsi="仿宋" w:eastAsia="仿宋" w:cs="仿宋"/>
          <w:sz w:val="21"/>
          <w:szCs w:val="21"/>
        </w:rPr>
        <w:t>湿热性能：按GB/T 2423.4-2008中试验Db规定的方法进行试验，试验温度为（40±2）℃，循环次数为2次，在试验结束前2h进行绝缘电阻和介电强度检测，其中绝缘电阻不应小于1MΩ，介电强度按表3规定值的75％施加测量电压。试验结束后，恢复至正常大气条件，通电检查充电桩各项功能应正常。</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76" w:name="_Toc25110"/>
      <w:bookmarkStart w:id="77" w:name="_Toc23341620"/>
      <w:r>
        <w:rPr>
          <w:rFonts w:hint="eastAsia" w:ascii="仿宋" w:hAnsi="仿宋" w:eastAsia="仿宋" w:cs="仿宋"/>
          <w:b/>
          <w:sz w:val="21"/>
          <w:szCs w:val="21"/>
        </w:rPr>
        <w:t>3.2.3.6机械强度</w:t>
      </w:r>
      <w:bookmarkEnd w:id="76"/>
      <w:bookmarkEnd w:id="77"/>
    </w:p>
    <w:p>
      <w:pPr>
        <w:tabs>
          <w:tab w:val="left" w:pos="1140"/>
        </w:tabs>
        <w:spacing w:line="240" w:lineRule="atLeast"/>
        <w:ind w:firstLine="420"/>
        <w:rPr>
          <w:rFonts w:hint="eastAsia" w:ascii="仿宋" w:hAnsi="仿宋" w:eastAsia="仿宋" w:cs="仿宋"/>
          <w:sz w:val="21"/>
          <w:szCs w:val="21"/>
        </w:rPr>
      </w:pPr>
      <w:r>
        <w:rPr>
          <w:rFonts w:hint="eastAsia" w:ascii="仿宋" w:hAnsi="仿宋" w:eastAsia="仿宋" w:cs="仿宋"/>
          <w:sz w:val="21"/>
          <w:szCs w:val="21"/>
        </w:rPr>
        <w:t>按GB/T 2423.55-2006规定的方法用弹簧锤进行机械强度试验，撞击能量为0.7J。试验结束后，检查充电桩壳体没有损坏或损坏时不触及带电部件及影响交流充电桩的使用，操作机构没有损坏，绝缘材料的敷层和护套没有损坏。</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78" w:name="_Toc14549"/>
      <w:bookmarkStart w:id="79" w:name="_Toc23341621"/>
      <w:r>
        <w:rPr>
          <w:rFonts w:hint="eastAsia" w:ascii="仿宋" w:hAnsi="仿宋" w:eastAsia="仿宋" w:cs="仿宋"/>
          <w:b/>
          <w:sz w:val="21"/>
          <w:szCs w:val="21"/>
        </w:rPr>
        <w:t>3.2.3.7电磁兼容</w:t>
      </w:r>
      <w:bookmarkEnd w:id="78"/>
      <w:bookmarkEnd w:id="79"/>
    </w:p>
    <w:p>
      <w:pPr>
        <w:numPr>
          <w:ilvl w:val="0"/>
          <w:numId w:val="0"/>
        </w:numPr>
        <w:tabs>
          <w:tab w:val="left" w:pos="1134"/>
        </w:tabs>
        <w:spacing w:line="240" w:lineRule="atLeast"/>
        <w:ind w:firstLine="420" w:firstLineChars="200"/>
        <w:rPr>
          <w:rFonts w:hint="eastAsia" w:ascii="仿宋" w:hAnsi="仿宋" w:eastAsia="仿宋" w:cs="仿宋"/>
          <w:sz w:val="21"/>
          <w:szCs w:val="21"/>
        </w:rPr>
      </w:pPr>
      <w:bookmarkStart w:id="80" w:name="_Toc274433923"/>
      <w:r>
        <w:rPr>
          <w:rFonts w:hint="default" w:ascii="仿宋" w:hAnsi="仿宋" w:eastAsia="仿宋" w:cs="仿宋"/>
          <w:kern w:val="2"/>
          <w:sz w:val="21"/>
          <w:szCs w:val="21"/>
          <w:lang w:val="en-US" w:eastAsia="zh-CN" w:bidi="ar-SA"/>
        </w:rPr>
        <w:t>a)</w:t>
      </w:r>
      <w:r>
        <w:rPr>
          <w:rFonts w:hint="eastAsia" w:ascii="仿宋" w:hAnsi="仿宋" w:eastAsia="仿宋" w:cs="仿宋"/>
          <w:sz w:val="21"/>
          <w:szCs w:val="21"/>
        </w:rPr>
        <w:t>静电放电抗扰度</w:t>
      </w:r>
      <w:bookmarkEnd w:id="80"/>
      <w:r>
        <w:rPr>
          <w:rFonts w:hint="eastAsia" w:ascii="仿宋" w:hAnsi="仿宋" w:eastAsia="仿宋" w:cs="仿宋"/>
          <w:sz w:val="21"/>
          <w:szCs w:val="21"/>
        </w:rPr>
        <w:t>：</w:t>
      </w:r>
      <w:bookmarkStart w:id="81" w:name="_Toc274433924"/>
      <w:r>
        <w:rPr>
          <w:rFonts w:hint="eastAsia" w:ascii="仿宋" w:hAnsi="仿宋" w:eastAsia="仿宋" w:cs="仿宋"/>
          <w:sz w:val="21"/>
          <w:szCs w:val="21"/>
        </w:rPr>
        <w:t>充电桩应能承受GB/T 17626.2-2006中第5章规定的试验等级为3级的静电放电抗扰度试验。</w:t>
      </w:r>
      <w:bookmarkEnd w:id="81"/>
    </w:p>
    <w:p>
      <w:pPr>
        <w:numPr>
          <w:ilvl w:val="0"/>
          <w:numId w:val="0"/>
        </w:numPr>
        <w:tabs>
          <w:tab w:val="left" w:pos="1134"/>
        </w:tabs>
        <w:spacing w:line="240" w:lineRule="atLeast"/>
        <w:ind w:firstLine="420" w:firstLineChars="200"/>
        <w:rPr>
          <w:rFonts w:hint="eastAsia" w:ascii="仿宋" w:hAnsi="仿宋" w:eastAsia="仿宋" w:cs="仿宋"/>
          <w:sz w:val="21"/>
          <w:szCs w:val="21"/>
        </w:rPr>
      </w:pPr>
      <w:bookmarkStart w:id="82" w:name="_Toc274433925"/>
      <w:r>
        <w:rPr>
          <w:rFonts w:hint="default" w:ascii="仿宋" w:hAnsi="仿宋" w:eastAsia="仿宋" w:cs="仿宋"/>
          <w:kern w:val="2"/>
          <w:sz w:val="21"/>
          <w:szCs w:val="21"/>
          <w:lang w:val="en-US" w:eastAsia="zh-CN" w:bidi="ar-SA"/>
        </w:rPr>
        <w:t>b)</w:t>
      </w:r>
      <w:r>
        <w:rPr>
          <w:rFonts w:hint="eastAsia" w:ascii="仿宋" w:hAnsi="仿宋" w:eastAsia="仿宋" w:cs="仿宋"/>
          <w:sz w:val="21"/>
          <w:szCs w:val="21"/>
        </w:rPr>
        <w:t>射频电磁场辐射抗扰度</w:t>
      </w:r>
      <w:bookmarkEnd w:id="82"/>
      <w:r>
        <w:rPr>
          <w:rFonts w:hint="eastAsia" w:ascii="仿宋" w:hAnsi="仿宋" w:eastAsia="仿宋" w:cs="仿宋"/>
          <w:sz w:val="21"/>
          <w:szCs w:val="21"/>
        </w:rPr>
        <w:t>：</w:t>
      </w:r>
      <w:bookmarkStart w:id="83" w:name="_Toc274433926"/>
      <w:r>
        <w:rPr>
          <w:rFonts w:hint="eastAsia" w:ascii="仿宋" w:hAnsi="仿宋" w:eastAsia="仿宋" w:cs="仿宋"/>
          <w:sz w:val="21"/>
          <w:szCs w:val="21"/>
        </w:rPr>
        <w:t>充电桩应能承受GB/T 17626.3-2006中第5章规定的试验等级为3级的射频电磁场辐射抗扰度试验。</w:t>
      </w:r>
      <w:bookmarkEnd w:id="83"/>
      <w:r>
        <w:rPr>
          <w:rFonts w:hint="eastAsia" w:ascii="仿宋" w:hAnsi="仿宋" w:eastAsia="仿宋" w:cs="仿宋"/>
          <w:sz w:val="21"/>
          <w:szCs w:val="21"/>
        </w:rPr>
        <w:tab/>
      </w:r>
    </w:p>
    <w:p>
      <w:pPr>
        <w:numPr>
          <w:ilvl w:val="0"/>
          <w:numId w:val="0"/>
        </w:numPr>
        <w:tabs>
          <w:tab w:val="left" w:pos="1134"/>
        </w:tabs>
        <w:spacing w:line="240" w:lineRule="atLeast"/>
        <w:ind w:firstLine="420" w:firstLineChars="200"/>
        <w:rPr>
          <w:rFonts w:hint="eastAsia" w:ascii="仿宋" w:hAnsi="仿宋" w:eastAsia="仿宋" w:cs="仿宋"/>
          <w:sz w:val="21"/>
          <w:szCs w:val="21"/>
        </w:rPr>
      </w:pPr>
      <w:bookmarkStart w:id="84" w:name="_Toc274433927"/>
      <w:r>
        <w:rPr>
          <w:rFonts w:hint="default" w:ascii="仿宋" w:hAnsi="仿宋" w:eastAsia="仿宋" w:cs="仿宋"/>
          <w:kern w:val="2"/>
          <w:sz w:val="21"/>
          <w:szCs w:val="21"/>
          <w:lang w:val="en-US" w:eastAsia="zh-CN" w:bidi="ar-SA"/>
        </w:rPr>
        <w:t>c)</w:t>
      </w:r>
      <w:r>
        <w:rPr>
          <w:rFonts w:hint="eastAsia" w:ascii="仿宋" w:hAnsi="仿宋" w:eastAsia="仿宋" w:cs="仿宋"/>
          <w:sz w:val="21"/>
          <w:szCs w:val="21"/>
        </w:rPr>
        <w:t>电快速瞬变脉冲群抗扰度</w:t>
      </w:r>
      <w:bookmarkEnd w:id="84"/>
      <w:bookmarkStart w:id="85" w:name="_Toc274433928"/>
      <w:r>
        <w:rPr>
          <w:rFonts w:hint="eastAsia" w:ascii="仿宋" w:hAnsi="仿宋" w:eastAsia="仿宋" w:cs="仿宋"/>
          <w:sz w:val="21"/>
          <w:szCs w:val="21"/>
        </w:rPr>
        <w:t>：充电桩应能承受GB/T 17626.4-2008中第5章规定的试验等级为3级的电快速瞬变脉冲群抗扰度试验。</w:t>
      </w:r>
      <w:bookmarkEnd w:id="85"/>
    </w:p>
    <w:p>
      <w:pPr>
        <w:numPr>
          <w:ilvl w:val="0"/>
          <w:numId w:val="0"/>
        </w:numPr>
        <w:tabs>
          <w:tab w:val="left" w:pos="1134"/>
        </w:tabs>
        <w:spacing w:line="240" w:lineRule="atLeast"/>
        <w:ind w:firstLine="420" w:firstLineChars="200"/>
        <w:rPr>
          <w:rFonts w:hint="eastAsia" w:ascii="仿宋" w:hAnsi="仿宋" w:eastAsia="仿宋" w:cs="仿宋"/>
          <w:sz w:val="21"/>
          <w:szCs w:val="21"/>
        </w:rPr>
      </w:pPr>
      <w:bookmarkStart w:id="86" w:name="_Toc274433929"/>
      <w:r>
        <w:rPr>
          <w:rFonts w:hint="default" w:ascii="仿宋" w:hAnsi="仿宋" w:eastAsia="仿宋" w:cs="仿宋"/>
          <w:kern w:val="2"/>
          <w:sz w:val="21"/>
          <w:szCs w:val="21"/>
          <w:lang w:val="en-US" w:eastAsia="zh-CN" w:bidi="ar-SA"/>
        </w:rPr>
        <w:t>d)</w:t>
      </w:r>
      <w:r>
        <w:rPr>
          <w:rFonts w:hint="eastAsia" w:ascii="仿宋" w:hAnsi="仿宋" w:eastAsia="仿宋" w:cs="仿宋"/>
          <w:sz w:val="21"/>
          <w:szCs w:val="21"/>
        </w:rPr>
        <w:t>浪涌（冲击）抗扰度</w:t>
      </w:r>
      <w:bookmarkEnd w:id="86"/>
      <w:bookmarkStart w:id="87" w:name="_Toc274433930"/>
      <w:r>
        <w:rPr>
          <w:rFonts w:hint="eastAsia" w:ascii="仿宋" w:hAnsi="仿宋" w:eastAsia="仿宋" w:cs="仿宋"/>
          <w:sz w:val="21"/>
          <w:szCs w:val="21"/>
        </w:rPr>
        <w:t>：充电桩应能承受GB/T 17626.5-2008中第5章规定的试验等级为3级的浪涌（冲击）抗扰度试验。</w:t>
      </w:r>
      <w:bookmarkEnd w:id="87"/>
    </w:p>
    <w:p>
      <w:pPr>
        <w:pStyle w:val="4"/>
        <w:numPr>
          <w:ilvl w:val="0"/>
          <w:numId w:val="0"/>
        </w:numPr>
        <w:tabs>
          <w:tab w:val="left" w:pos="1134"/>
        </w:tabs>
        <w:spacing w:line="240" w:lineRule="atLeast"/>
        <w:ind w:firstLine="420" w:firstLineChars="200"/>
        <w:rPr>
          <w:rFonts w:hint="eastAsia" w:ascii="仿宋" w:hAnsi="仿宋" w:eastAsia="仿宋" w:cs="仿宋"/>
          <w:sz w:val="21"/>
          <w:szCs w:val="21"/>
        </w:rPr>
      </w:pPr>
      <w:bookmarkStart w:id="88" w:name="_Toc429000961"/>
      <w:bookmarkStart w:id="89" w:name="_Toc413504323"/>
      <w:r>
        <w:rPr>
          <w:rFonts w:hint="default" w:ascii="仿宋" w:hAnsi="仿宋" w:eastAsia="仿宋" w:cs="仿宋"/>
          <w:kern w:val="2"/>
          <w:sz w:val="21"/>
          <w:szCs w:val="21"/>
          <w:lang w:val="en-US" w:eastAsia="zh-CN" w:bidi="ar-SA"/>
        </w:rPr>
        <w:t>e)</w:t>
      </w:r>
      <w:r>
        <w:rPr>
          <w:rFonts w:hint="eastAsia" w:ascii="仿宋" w:hAnsi="仿宋" w:eastAsia="仿宋" w:cs="仿宋"/>
          <w:sz w:val="21"/>
          <w:szCs w:val="21"/>
        </w:rPr>
        <w:t>电压暂降、短时中断抗扰度：充电桩应能承受GB/T 17626.11-2008中第5章规定的电压试验等级在0%、40%、70%的额定工作电压的电压暂降、短时中断抗扰度试验。</w:t>
      </w:r>
    </w:p>
    <w:p>
      <w:pPr>
        <w:pStyle w:val="4"/>
        <w:numPr>
          <w:ilvl w:val="0"/>
          <w:numId w:val="0"/>
        </w:numPr>
        <w:tabs>
          <w:tab w:val="left" w:pos="1134"/>
        </w:tabs>
        <w:spacing w:line="240" w:lineRule="atLeast"/>
        <w:ind w:firstLine="420" w:firstLineChars="200"/>
        <w:rPr>
          <w:rFonts w:hint="eastAsia" w:ascii="仿宋" w:hAnsi="仿宋" w:eastAsia="仿宋" w:cs="仿宋"/>
          <w:sz w:val="21"/>
          <w:szCs w:val="21"/>
        </w:rPr>
      </w:pPr>
      <w:bookmarkStart w:id="90" w:name="_Toc274433937"/>
      <w:r>
        <w:rPr>
          <w:rFonts w:hint="default" w:ascii="仿宋" w:hAnsi="仿宋" w:eastAsia="仿宋" w:cs="仿宋"/>
          <w:kern w:val="2"/>
          <w:sz w:val="21"/>
          <w:szCs w:val="21"/>
          <w:lang w:val="en-US" w:eastAsia="zh-CN" w:bidi="ar-SA"/>
        </w:rPr>
        <w:t>f)</w:t>
      </w:r>
      <w:r>
        <w:rPr>
          <w:rFonts w:hint="eastAsia" w:ascii="仿宋" w:hAnsi="仿宋" w:eastAsia="仿宋" w:cs="仿宋"/>
          <w:sz w:val="21"/>
          <w:szCs w:val="21"/>
        </w:rPr>
        <w:t>传导和辐射发射限值要求</w:t>
      </w:r>
      <w:bookmarkEnd w:id="90"/>
      <w:bookmarkStart w:id="91" w:name="_Toc274433939"/>
      <w:r>
        <w:rPr>
          <w:rFonts w:hint="eastAsia" w:ascii="仿宋" w:hAnsi="仿宋" w:eastAsia="仿宋" w:cs="仿宋"/>
          <w:sz w:val="21"/>
          <w:szCs w:val="21"/>
        </w:rPr>
        <w:t>：充电桩的电源端口应符合</w:t>
      </w:r>
      <w:bookmarkStart w:id="92" w:name="OLE_LINK1"/>
      <w:r>
        <w:rPr>
          <w:rFonts w:hint="eastAsia" w:ascii="仿宋" w:hAnsi="仿宋" w:eastAsia="仿宋" w:cs="仿宋"/>
          <w:sz w:val="21"/>
          <w:szCs w:val="21"/>
        </w:rPr>
        <w:t>表</w:t>
      </w:r>
      <w:bookmarkEnd w:id="92"/>
      <w:r>
        <w:rPr>
          <w:rFonts w:hint="eastAsia" w:ascii="仿宋" w:hAnsi="仿宋" w:eastAsia="仿宋" w:cs="仿宋"/>
          <w:sz w:val="21"/>
          <w:szCs w:val="21"/>
        </w:rPr>
        <w:t>3规定的传导发射限值，外壳端口应符合表4规定的辐射发射限值。</w:t>
      </w:r>
      <w:bookmarkEnd w:id="91"/>
    </w:p>
    <w:p>
      <w:pPr>
        <w:pStyle w:val="13"/>
        <w:numPr>
          <w:ilvl w:val="0"/>
          <w:numId w:val="0"/>
        </w:numPr>
        <w:spacing w:beforeLines="0" w:after="156" w:line="240" w:lineRule="atLeast"/>
        <w:rPr>
          <w:rFonts w:hint="eastAsia" w:ascii="仿宋" w:hAnsi="仿宋" w:eastAsia="仿宋" w:cs="仿宋"/>
          <w:sz w:val="21"/>
          <w:szCs w:val="21"/>
        </w:rPr>
      </w:pPr>
      <w:bookmarkStart w:id="93" w:name="_Toc274433940"/>
      <w:r>
        <w:rPr>
          <w:rFonts w:hint="eastAsia" w:ascii="仿宋" w:hAnsi="仿宋" w:eastAsia="仿宋" w:cs="仿宋"/>
          <w:sz w:val="21"/>
          <w:szCs w:val="21"/>
        </w:rPr>
        <w:t>表8  传导发射限值</w:t>
      </w:r>
      <w:bookmarkEnd w:id="93"/>
    </w:p>
    <w:tbl>
      <w:tblPr>
        <w:tblStyle w:val="10"/>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2934"/>
        <w:gridCol w:w="29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7" w:type="dxa"/>
            <w:vMerge w:val="restart"/>
            <w:noWrap w:val="0"/>
            <w:vAlign w:val="center"/>
          </w:tcPr>
          <w:p>
            <w:pPr>
              <w:spacing w:line="240" w:lineRule="atLeast"/>
              <w:jc w:val="center"/>
              <w:rPr>
                <w:rFonts w:hint="eastAsia" w:ascii="仿宋" w:hAnsi="仿宋" w:eastAsia="仿宋" w:cs="仿宋"/>
                <w:w w:val="80"/>
                <w:sz w:val="21"/>
                <w:szCs w:val="21"/>
              </w:rPr>
            </w:pPr>
            <w:r>
              <w:rPr>
                <w:rFonts w:hint="eastAsia" w:ascii="仿宋" w:hAnsi="仿宋" w:eastAsia="仿宋" w:cs="仿宋"/>
                <w:sz w:val="21"/>
                <w:szCs w:val="21"/>
              </w:rPr>
              <w:t>频率范围（MHz）</w:t>
            </w:r>
          </w:p>
        </w:tc>
        <w:tc>
          <w:tcPr>
            <w:tcW w:w="5891" w:type="dxa"/>
            <w:gridSpan w:val="2"/>
            <w:noWrap w:val="0"/>
            <w:vAlign w:val="center"/>
          </w:tcPr>
          <w:p>
            <w:pPr>
              <w:spacing w:line="240" w:lineRule="atLeast"/>
              <w:jc w:val="center"/>
              <w:rPr>
                <w:rFonts w:hint="eastAsia" w:ascii="仿宋" w:hAnsi="仿宋" w:eastAsia="仿宋" w:cs="仿宋"/>
                <w:sz w:val="21"/>
                <w:szCs w:val="21"/>
              </w:rPr>
            </w:pPr>
            <w:bookmarkStart w:id="94" w:name="_Toc274433942"/>
            <w:r>
              <w:rPr>
                <w:rFonts w:hint="eastAsia" w:ascii="仿宋" w:hAnsi="仿宋" w:eastAsia="仿宋" w:cs="仿宋"/>
                <w:sz w:val="21"/>
                <w:szCs w:val="21"/>
              </w:rPr>
              <w:t>发射限值dB(μV)</w:t>
            </w:r>
            <w:bookmarkEnd w:id="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 w:hRule="atLeast"/>
        </w:trPr>
        <w:tc>
          <w:tcPr>
            <w:tcW w:w="3227" w:type="dxa"/>
            <w:vMerge w:val="continue"/>
            <w:noWrap w:val="0"/>
            <w:vAlign w:val="center"/>
          </w:tcPr>
          <w:p>
            <w:pPr>
              <w:spacing w:line="240" w:lineRule="atLeast"/>
              <w:jc w:val="center"/>
              <w:rPr>
                <w:rFonts w:hint="eastAsia" w:ascii="仿宋" w:hAnsi="仿宋" w:eastAsia="仿宋" w:cs="仿宋"/>
                <w:w w:val="80"/>
                <w:sz w:val="21"/>
                <w:szCs w:val="21"/>
              </w:rPr>
            </w:pPr>
          </w:p>
        </w:tc>
        <w:tc>
          <w:tcPr>
            <w:tcW w:w="2934" w:type="dxa"/>
            <w:noWrap w:val="0"/>
            <w:vAlign w:val="center"/>
          </w:tcPr>
          <w:p>
            <w:pPr>
              <w:spacing w:line="240" w:lineRule="atLeast"/>
              <w:jc w:val="center"/>
              <w:rPr>
                <w:rFonts w:hint="eastAsia" w:ascii="仿宋" w:hAnsi="仿宋" w:eastAsia="仿宋" w:cs="仿宋"/>
                <w:sz w:val="21"/>
                <w:szCs w:val="21"/>
              </w:rPr>
            </w:pPr>
            <w:bookmarkStart w:id="95" w:name="_Toc274433943"/>
            <w:r>
              <w:rPr>
                <w:rFonts w:hint="eastAsia" w:ascii="仿宋" w:hAnsi="仿宋" w:eastAsia="仿宋" w:cs="仿宋"/>
                <w:sz w:val="21"/>
                <w:szCs w:val="21"/>
              </w:rPr>
              <w:t>准峰值</w:t>
            </w:r>
            <w:bookmarkEnd w:id="95"/>
          </w:p>
        </w:tc>
        <w:tc>
          <w:tcPr>
            <w:tcW w:w="2957" w:type="dxa"/>
            <w:noWrap w:val="0"/>
            <w:vAlign w:val="center"/>
          </w:tcPr>
          <w:p>
            <w:pPr>
              <w:spacing w:line="240" w:lineRule="atLeast"/>
              <w:jc w:val="center"/>
              <w:rPr>
                <w:rFonts w:hint="eastAsia" w:ascii="仿宋" w:hAnsi="仿宋" w:eastAsia="仿宋" w:cs="仿宋"/>
                <w:sz w:val="21"/>
                <w:szCs w:val="21"/>
              </w:rPr>
            </w:pPr>
            <w:bookmarkStart w:id="96" w:name="_Toc274433944"/>
            <w:r>
              <w:rPr>
                <w:rFonts w:hint="eastAsia" w:ascii="仿宋" w:hAnsi="仿宋" w:eastAsia="仿宋" w:cs="仿宋"/>
                <w:sz w:val="21"/>
                <w:szCs w:val="21"/>
              </w:rPr>
              <w:t>平均值</w:t>
            </w:r>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noWrap w:val="0"/>
            <w:vAlign w:val="center"/>
          </w:tcPr>
          <w:p>
            <w:pPr>
              <w:spacing w:line="240" w:lineRule="atLeast"/>
              <w:jc w:val="center"/>
              <w:rPr>
                <w:rFonts w:hint="eastAsia" w:ascii="仿宋" w:hAnsi="仿宋" w:eastAsia="仿宋" w:cs="仿宋"/>
                <w:sz w:val="21"/>
                <w:szCs w:val="21"/>
              </w:rPr>
            </w:pPr>
            <w:bookmarkStart w:id="97" w:name="_Toc274433945"/>
            <w:r>
              <w:rPr>
                <w:rFonts w:hint="eastAsia" w:ascii="仿宋" w:hAnsi="仿宋" w:eastAsia="仿宋" w:cs="仿宋"/>
                <w:sz w:val="21"/>
                <w:szCs w:val="21"/>
              </w:rPr>
              <w:t>0.15～0.5（不含0.5）</w:t>
            </w:r>
            <w:bookmarkEnd w:id="97"/>
          </w:p>
        </w:tc>
        <w:tc>
          <w:tcPr>
            <w:tcW w:w="2934" w:type="dxa"/>
            <w:noWrap w:val="0"/>
            <w:vAlign w:val="center"/>
          </w:tcPr>
          <w:p>
            <w:pPr>
              <w:spacing w:line="240" w:lineRule="atLeast"/>
              <w:jc w:val="center"/>
              <w:rPr>
                <w:rFonts w:hint="eastAsia" w:ascii="仿宋" w:hAnsi="仿宋" w:eastAsia="仿宋" w:cs="仿宋"/>
                <w:sz w:val="21"/>
                <w:szCs w:val="21"/>
              </w:rPr>
            </w:pPr>
            <w:bookmarkStart w:id="98" w:name="_Toc274433946"/>
            <w:r>
              <w:rPr>
                <w:rFonts w:hint="eastAsia" w:ascii="仿宋" w:hAnsi="仿宋" w:eastAsia="仿宋" w:cs="仿宋"/>
                <w:sz w:val="21"/>
                <w:szCs w:val="21"/>
              </w:rPr>
              <w:t>79</w:t>
            </w:r>
            <w:bookmarkEnd w:id="98"/>
          </w:p>
        </w:tc>
        <w:tc>
          <w:tcPr>
            <w:tcW w:w="2957" w:type="dxa"/>
            <w:noWrap w:val="0"/>
            <w:vAlign w:val="center"/>
          </w:tcPr>
          <w:p>
            <w:pPr>
              <w:spacing w:line="240" w:lineRule="atLeast"/>
              <w:jc w:val="center"/>
              <w:rPr>
                <w:rFonts w:hint="eastAsia" w:ascii="仿宋" w:hAnsi="仿宋" w:eastAsia="仿宋" w:cs="仿宋"/>
                <w:sz w:val="21"/>
                <w:szCs w:val="21"/>
              </w:rPr>
            </w:pPr>
            <w:bookmarkStart w:id="99" w:name="_Toc274433947"/>
            <w:r>
              <w:rPr>
                <w:rFonts w:hint="eastAsia" w:ascii="仿宋" w:hAnsi="仿宋" w:eastAsia="仿宋" w:cs="仿宋"/>
                <w:sz w:val="21"/>
                <w:szCs w:val="21"/>
              </w:rPr>
              <w:t>66</w:t>
            </w:r>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rPr>
        <w:tc>
          <w:tcPr>
            <w:tcW w:w="3227" w:type="dxa"/>
            <w:noWrap w:val="0"/>
            <w:vAlign w:val="center"/>
          </w:tcPr>
          <w:p>
            <w:pPr>
              <w:spacing w:line="240" w:lineRule="atLeast"/>
              <w:jc w:val="center"/>
              <w:rPr>
                <w:rFonts w:hint="eastAsia" w:ascii="仿宋" w:hAnsi="仿宋" w:eastAsia="仿宋" w:cs="仿宋"/>
                <w:sz w:val="21"/>
                <w:szCs w:val="21"/>
              </w:rPr>
            </w:pPr>
            <w:bookmarkStart w:id="100" w:name="_Toc274433948"/>
            <w:r>
              <w:rPr>
                <w:rFonts w:hint="eastAsia" w:ascii="仿宋" w:hAnsi="仿宋" w:eastAsia="仿宋" w:cs="仿宋"/>
                <w:sz w:val="21"/>
                <w:szCs w:val="21"/>
              </w:rPr>
              <w:t>0.5～30</w:t>
            </w:r>
            <w:bookmarkEnd w:id="100"/>
          </w:p>
        </w:tc>
        <w:tc>
          <w:tcPr>
            <w:tcW w:w="2934" w:type="dxa"/>
            <w:noWrap w:val="0"/>
            <w:vAlign w:val="center"/>
          </w:tcPr>
          <w:p>
            <w:pPr>
              <w:spacing w:line="240" w:lineRule="atLeast"/>
              <w:jc w:val="center"/>
              <w:rPr>
                <w:rFonts w:hint="eastAsia" w:ascii="仿宋" w:hAnsi="仿宋" w:eastAsia="仿宋" w:cs="仿宋"/>
                <w:sz w:val="21"/>
                <w:szCs w:val="21"/>
              </w:rPr>
            </w:pPr>
            <w:bookmarkStart w:id="101" w:name="_Toc274433949"/>
            <w:r>
              <w:rPr>
                <w:rFonts w:hint="eastAsia" w:ascii="仿宋" w:hAnsi="仿宋" w:eastAsia="仿宋" w:cs="仿宋"/>
                <w:sz w:val="21"/>
                <w:szCs w:val="21"/>
              </w:rPr>
              <w:t>73</w:t>
            </w:r>
            <w:bookmarkEnd w:id="101"/>
          </w:p>
        </w:tc>
        <w:tc>
          <w:tcPr>
            <w:tcW w:w="2957" w:type="dxa"/>
            <w:noWrap w:val="0"/>
            <w:vAlign w:val="center"/>
          </w:tcPr>
          <w:p>
            <w:pPr>
              <w:spacing w:line="240" w:lineRule="atLeast"/>
              <w:jc w:val="center"/>
              <w:rPr>
                <w:rFonts w:hint="eastAsia" w:ascii="仿宋" w:hAnsi="仿宋" w:eastAsia="仿宋" w:cs="仿宋"/>
                <w:sz w:val="21"/>
                <w:szCs w:val="21"/>
              </w:rPr>
            </w:pPr>
            <w:bookmarkStart w:id="102" w:name="_Toc274433950"/>
            <w:r>
              <w:rPr>
                <w:rFonts w:hint="eastAsia" w:ascii="仿宋" w:hAnsi="仿宋" w:eastAsia="仿宋" w:cs="仿宋"/>
                <w:sz w:val="21"/>
                <w:szCs w:val="21"/>
              </w:rPr>
              <w:t>60</w:t>
            </w:r>
            <w:bookmarkEnd w:id="102"/>
          </w:p>
        </w:tc>
      </w:tr>
    </w:tbl>
    <w:p>
      <w:pPr>
        <w:pStyle w:val="13"/>
        <w:numPr>
          <w:ilvl w:val="0"/>
          <w:numId w:val="0"/>
        </w:numPr>
        <w:spacing w:before="156" w:after="156" w:line="240" w:lineRule="atLeast"/>
        <w:rPr>
          <w:rFonts w:hint="eastAsia" w:ascii="仿宋" w:hAnsi="仿宋" w:eastAsia="仿宋" w:cs="仿宋"/>
          <w:sz w:val="21"/>
          <w:szCs w:val="21"/>
        </w:rPr>
      </w:pPr>
      <w:bookmarkStart w:id="103" w:name="_Toc274433951"/>
      <w:r>
        <w:rPr>
          <w:rFonts w:hint="eastAsia" w:ascii="仿宋" w:hAnsi="仿宋" w:eastAsia="仿宋" w:cs="仿宋"/>
          <w:sz w:val="21"/>
          <w:szCs w:val="21"/>
        </w:rPr>
        <w:t>表9  辐射发射限值</w:t>
      </w:r>
      <w:bookmarkEnd w:id="103"/>
    </w:p>
    <w:tbl>
      <w:tblPr>
        <w:tblStyle w:val="10"/>
        <w:tblW w:w="91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 w:hRule="atLeast"/>
        </w:trPr>
        <w:tc>
          <w:tcPr>
            <w:tcW w:w="3227" w:type="dxa"/>
            <w:vMerge w:val="restart"/>
            <w:noWrap w:val="0"/>
            <w:vAlign w:val="center"/>
          </w:tcPr>
          <w:p>
            <w:pPr>
              <w:spacing w:line="240" w:lineRule="atLeast"/>
              <w:jc w:val="center"/>
              <w:rPr>
                <w:rFonts w:hint="eastAsia" w:ascii="仿宋" w:hAnsi="仿宋" w:eastAsia="仿宋" w:cs="仿宋"/>
                <w:sz w:val="21"/>
                <w:szCs w:val="21"/>
              </w:rPr>
            </w:pPr>
            <w:bookmarkStart w:id="104" w:name="_Toc274433952"/>
            <w:r>
              <w:rPr>
                <w:rFonts w:hint="eastAsia" w:ascii="仿宋" w:hAnsi="仿宋" w:eastAsia="仿宋" w:cs="仿宋"/>
                <w:sz w:val="21"/>
                <w:szCs w:val="21"/>
              </w:rPr>
              <w:t>频率范围（MHz）</w:t>
            </w:r>
            <w:bookmarkEnd w:id="104"/>
          </w:p>
        </w:tc>
        <w:tc>
          <w:tcPr>
            <w:tcW w:w="5891" w:type="dxa"/>
            <w:noWrap w:val="0"/>
            <w:vAlign w:val="center"/>
          </w:tcPr>
          <w:p>
            <w:pPr>
              <w:spacing w:line="240" w:lineRule="atLeast"/>
              <w:jc w:val="center"/>
              <w:rPr>
                <w:rFonts w:hint="eastAsia" w:ascii="仿宋" w:hAnsi="仿宋" w:eastAsia="仿宋" w:cs="仿宋"/>
                <w:sz w:val="21"/>
                <w:szCs w:val="21"/>
              </w:rPr>
            </w:pPr>
            <w:bookmarkStart w:id="105" w:name="_Toc274433953"/>
            <w:r>
              <w:rPr>
                <w:rFonts w:hint="eastAsia" w:ascii="仿宋" w:hAnsi="仿宋" w:eastAsia="仿宋" w:cs="仿宋"/>
                <w:sz w:val="21"/>
                <w:szCs w:val="21"/>
              </w:rPr>
              <w:t>在10 m测量距离处辐射发射限值dB(μV/m)</w:t>
            </w:r>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trPr>
        <w:tc>
          <w:tcPr>
            <w:tcW w:w="3227" w:type="dxa"/>
            <w:vMerge w:val="continue"/>
            <w:noWrap w:val="0"/>
            <w:vAlign w:val="center"/>
          </w:tcPr>
          <w:p>
            <w:pPr>
              <w:spacing w:line="240" w:lineRule="atLeast"/>
              <w:jc w:val="center"/>
              <w:rPr>
                <w:rFonts w:hint="eastAsia" w:ascii="仿宋" w:hAnsi="仿宋" w:eastAsia="仿宋" w:cs="仿宋"/>
                <w:sz w:val="21"/>
                <w:szCs w:val="21"/>
              </w:rPr>
            </w:pPr>
          </w:p>
        </w:tc>
        <w:tc>
          <w:tcPr>
            <w:tcW w:w="5891" w:type="dxa"/>
            <w:noWrap w:val="0"/>
            <w:vAlign w:val="center"/>
          </w:tcPr>
          <w:p>
            <w:pPr>
              <w:spacing w:line="240" w:lineRule="atLeast"/>
              <w:jc w:val="center"/>
              <w:rPr>
                <w:rFonts w:hint="eastAsia" w:ascii="仿宋" w:hAnsi="仿宋" w:eastAsia="仿宋" w:cs="仿宋"/>
                <w:sz w:val="21"/>
                <w:szCs w:val="21"/>
              </w:rPr>
            </w:pPr>
            <w:bookmarkStart w:id="106" w:name="_Toc274433954"/>
            <w:r>
              <w:rPr>
                <w:rFonts w:hint="eastAsia" w:ascii="仿宋" w:hAnsi="仿宋" w:eastAsia="仿宋" w:cs="仿宋"/>
                <w:sz w:val="21"/>
                <w:szCs w:val="21"/>
              </w:rPr>
              <w:t>准峰值</w:t>
            </w:r>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trPr>
        <w:tc>
          <w:tcPr>
            <w:tcW w:w="3227" w:type="dxa"/>
            <w:noWrap w:val="0"/>
            <w:vAlign w:val="center"/>
          </w:tcPr>
          <w:p>
            <w:pPr>
              <w:spacing w:line="240" w:lineRule="atLeast"/>
              <w:jc w:val="center"/>
              <w:rPr>
                <w:rFonts w:hint="eastAsia" w:ascii="仿宋" w:hAnsi="仿宋" w:eastAsia="仿宋" w:cs="仿宋"/>
                <w:sz w:val="21"/>
                <w:szCs w:val="21"/>
              </w:rPr>
            </w:pPr>
            <w:bookmarkStart w:id="107" w:name="_Toc274433955"/>
            <w:r>
              <w:rPr>
                <w:rFonts w:hint="eastAsia" w:ascii="仿宋" w:hAnsi="仿宋" w:eastAsia="仿宋" w:cs="仿宋"/>
                <w:sz w:val="21"/>
                <w:szCs w:val="21"/>
              </w:rPr>
              <w:t>30～230</w:t>
            </w:r>
            <w:bookmarkEnd w:id="107"/>
          </w:p>
        </w:tc>
        <w:tc>
          <w:tcPr>
            <w:tcW w:w="5891" w:type="dxa"/>
            <w:noWrap w:val="0"/>
            <w:vAlign w:val="center"/>
          </w:tcPr>
          <w:p>
            <w:pPr>
              <w:autoSpaceDE w:val="0"/>
              <w:autoSpaceDN w:val="0"/>
              <w:adjustRightInd w:val="0"/>
              <w:spacing w:line="240" w:lineRule="atLeast"/>
              <w:jc w:val="center"/>
              <w:rPr>
                <w:rFonts w:hint="eastAsia" w:ascii="仿宋" w:hAnsi="仿宋" w:eastAsia="仿宋" w:cs="仿宋"/>
                <w:kern w:val="0"/>
                <w:sz w:val="21"/>
                <w:szCs w:val="21"/>
              </w:rPr>
            </w:pPr>
            <w:bookmarkStart w:id="108" w:name="_Toc274433956"/>
            <w:r>
              <w:rPr>
                <w:rFonts w:hint="eastAsia" w:ascii="仿宋" w:hAnsi="仿宋" w:eastAsia="仿宋" w:cs="仿宋"/>
                <w:kern w:val="0"/>
                <w:sz w:val="21"/>
                <w:szCs w:val="21"/>
              </w:rPr>
              <w:t>40</w:t>
            </w:r>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3227" w:type="dxa"/>
            <w:noWrap w:val="0"/>
            <w:vAlign w:val="center"/>
          </w:tcPr>
          <w:p>
            <w:pPr>
              <w:spacing w:line="240" w:lineRule="atLeast"/>
              <w:jc w:val="center"/>
              <w:rPr>
                <w:rFonts w:hint="eastAsia" w:ascii="仿宋" w:hAnsi="仿宋" w:eastAsia="仿宋" w:cs="仿宋"/>
                <w:sz w:val="21"/>
                <w:szCs w:val="21"/>
              </w:rPr>
            </w:pPr>
            <w:bookmarkStart w:id="109" w:name="_Toc274433957"/>
            <w:r>
              <w:rPr>
                <w:rFonts w:hint="eastAsia" w:ascii="仿宋" w:hAnsi="仿宋" w:eastAsia="仿宋" w:cs="仿宋"/>
                <w:sz w:val="21"/>
                <w:szCs w:val="21"/>
              </w:rPr>
              <w:t>230～1000（不含230）</w:t>
            </w:r>
            <w:bookmarkEnd w:id="109"/>
          </w:p>
        </w:tc>
        <w:tc>
          <w:tcPr>
            <w:tcW w:w="5891" w:type="dxa"/>
            <w:noWrap w:val="0"/>
            <w:vAlign w:val="center"/>
          </w:tcPr>
          <w:p>
            <w:pPr>
              <w:autoSpaceDE w:val="0"/>
              <w:autoSpaceDN w:val="0"/>
              <w:adjustRightInd w:val="0"/>
              <w:spacing w:line="240" w:lineRule="atLeast"/>
              <w:jc w:val="center"/>
              <w:rPr>
                <w:rFonts w:hint="eastAsia" w:ascii="仿宋" w:hAnsi="仿宋" w:eastAsia="仿宋" w:cs="仿宋"/>
                <w:kern w:val="0"/>
                <w:sz w:val="21"/>
                <w:szCs w:val="21"/>
              </w:rPr>
            </w:pPr>
            <w:bookmarkStart w:id="110" w:name="_Toc274433958"/>
            <w:r>
              <w:rPr>
                <w:rFonts w:hint="eastAsia" w:ascii="仿宋" w:hAnsi="仿宋" w:eastAsia="仿宋" w:cs="仿宋"/>
                <w:kern w:val="0"/>
                <w:sz w:val="21"/>
                <w:szCs w:val="21"/>
              </w:rPr>
              <w:t>47</w:t>
            </w:r>
            <w:bookmarkEnd w:id="110"/>
          </w:p>
        </w:tc>
      </w:tr>
    </w:tbl>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11" w:name="_Toc23341622"/>
      <w:bookmarkStart w:id="112" w:name="_Toc23405141"/>
      <w:bookmarkStart w:id="113" w:name="_Toc14666"/>
      <w:bookmarkStart w:id="114" w:name="_Toc6525"/>
      <w:r>
        <w:rPr>
          <w:rFonts w:hint="eastAsia" w:ascii="仿宋" w:hAnsi="仿宋" w:eastAsia="仿宋" w:cs="仿宋"/>
          <w:b/>
          <w:sz w:val="21"/>
          <w:szCs w:val="21"/>
        </w:rPr>
        <w:t>3.2.4其它要求</w:t>
      </w:r>
      <w:bookmarkEnd w:id="65"/>
      <w:bookmarkEnd w:id="88"/>
      <w:bookmarkEnd w:id="89"/>
      <w:bookmarkEnd w:id="111"/>
      <w:bookmarkEnd w:id="112"/>
      <w:bookmarkEnd w:id="113"/>
      <w:bookmarkEnd w:id="114"/>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15" w:name="_Toc3073"/>
      <w:bookmarkStart w:id="116" w:name="_Toc23341623"/>
      <w:r>
        <w:rPr>
          <w:rFonts w:hint="eastAsia" w:ascii="仿宋" w:hAnsi="仿宋" w:eastAsia="仿宋" w:cs="仿宋"/>
          <w:b/>
          <w:sz w:val="21"/>
          <w:szCs w:val="21"/>
        </w:rPr>
        <w:t>3.2.4.1充电连接装置</w:t>
      </w:r>
      <w:bookmarkEnd w:id="115"/>
      <w:bookmarkEnd w:id="116"/>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a)</w:t>
      </w:r>
      <w:r>
        <w:rPr>
          <w:rFonts w:hint="eastAsia" w:ascii="仿宋" w:hAnsi="仿宋" w:eastAsia="仿宋" w:cs="仿宋"/>
          <w:sz w:val="21"/>
          <w:szCs w:val="21"/>
        </w:rPr>
        <w:t>交流充电桩可采用GB/T18487.1-2015附录A中规定的充电模式3和连接方式A、B、C对电动汽车进行充电，采用三相供电且电流大于32A时，应采用连接方式C。充电接口应满足GB/T20234.1-2015和GB/T20234.2-2015的规定。</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b)</w:t>
      </w:r>
      <w:r>
        <w:rPr>
          <w:rFonts w:hint="eastAsia" w:ascii="仿宋" w:hAnsi="仿宋" w:eastAsia="仿宋" w:cs="仿宋"/>
          <w:sz w:val="21"/>
          <w:szCs w:val="21"/>
        </w:rPr>
        <w:t>当交流充电桩提供GB/T20234.1-2015规定的连接方式A、B所适用的供电插座时，不提供充电电缆。供电插座的功能、结构尺寸应符合GB/T20234.2-2015的规定，技术性能应满足GB/T20234.1-2015的规定。</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c)</w:t>
      </w:r>
      <w:r>
        <w:rPr>
          <w:rFonts w:hint="eastAsia" w:ascii="仿宋" w:hAnsi="仿宋" w:eastAsia="仿宋" w:cs="仿宋"/>
          <w:sz w:val="21"/>
          <w:szCs w:val="21"/>
        </w:rPr>
        <w:t>当交流充电桩提供GB/T20234.1-2015规定的连接方式C所适用的充电电缆和车辆插头时，车辆插头的功能、结构尺寸应符合GB/T20234.2-2015的规定，技术性能应满足GB/T20234.1-2015的规定。</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17" w:name="_Toc23341624"/>
      <w:bookmarkStart w:id="118" w:name="_Toc12549"/>
      <w:r>
        <w:rPr>
          <w:rFonts w:hint="eastAsia" w:ascii="仿宋" w:hAnsi="仿宋" w:eastAsia="仿宋" w:cs="仿宋"/>
          <w:b/>
          <w:sz w:val="21"/>
          <w:szCs w:val="21"/>
        </w:rPr>
        <w:t>3.2.4.2充电桩体</w:t>
      </w:r>
      <w:bookmarkEnd w:id="117"/>
      <w:bookmarkEnd w:id="118"/>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a)</w:t>
      </w:r>
      <w:r>
        <w:rPr>
          <w:rFonts w:hint="eastAsia" w:ascii="仿宋" w:hAnsi="仿宋" w:eastAsia="仿宋" w:cs="仿宋"/>
          <w:sz w:val="21"/>
          <w:szCs w:val="21"/>
        </w:rPr>
        <w:t>桩体应美观大方，线条流畅，具有独创性（外观专利或实用新型专利），与安装地点周边环境相协调。</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b)</w:t>
      </w:r>
      <w:r>
        <w:rPr>
          <w:rFonts w:hint="eastAsia" w:ascii="仿宋" w:hAnsi="仿宋" w:eastAsia="仿宋" w:cs="仿宋"/>
          <w:sz w:val="21"/>
          <w:szCs w:val="21"/>
        </w:rPr>
        <w:t>桩体应具备安装4G/3G通信模块天线的位置，并确保壳体不对通信模块接收信号产生负面影响。</w:t>
      </w:r>
    </w:p>
    <w:p>
      <w:pPr>
        <w:pStyle w:val="4"/>
        <w:numPr>
          <w:ilvl w:val="0"/>
          <w:numId w:val="0"/>
        </w:numPr>
        <w:tabs>
          <w:tab w:val="left" w:pos="1140"/>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c)</w:t>
      </w:r>
      <w:r>
        <w:rPr>
          <w:rFonts w:hint="eastAsia" w:ascii="仿宋" w:hAnsi="仿宋" w:eastAsia="仿宋" w:cs="仿宋"/>
          <w:sz w:val="21"/>
          <w:szCs w:val="21"/>
        </w:rPr>
        <w:t>桩体的非接触CPU卡片刷卡区域应具备良好感应效果。</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d)</w:t>
      </w:r>
      <w:r>
        <w:rPr>
          <w:rFonts w:hint="eastAsia" w:ascii="仿宋" w:hAnsi="仿宋" w:eastAsia="仿宋" w:cs="仿宋"/>
          <w:sz w:val="21"/>
          <w:szCs w:val="21"/>
        </w:rPr>
        <w:t>桩体应便于选装内置蓝牙通信模块的对外通信。</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e)</w:t>
      </w:r>
      <w:r>
        <w:rPr>
          <w:rFonts w:hint="eastAsia" w:ascii="仿宋" w:hAnsi="仿宋" w:eastAsia="仿宋" w:cs="仿宋"/>
          <w:sz w:val="21"/>
          <w:szCs w:val="21"/>
        </w:rPr>
        <w:t>桩体内部线束，应排布整齐、规整，标识清楚，捆扎牢固。</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f)</w:t>
      </w:r>
      <w:r>
        <w:rPr>
          <w:rFonts w:hint="eastAsia" w:ascii="仿宋" w:hAnsi="仿宋" w:eastAsia="仿宋" w:cs="仿宋"/>
          <w:sz w:val="21"/>
          <w:szCs w:val="21"/>
        </w:rPr>
        <w:t>充电机柜体（桩体）内元器件应布局合理，模块仓、高压单元和低压控制单元应进行有效物理分隔，易耗易损元件方便更换。</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g)</w:t>
      </w:r>
      <w:r>
        <w:rPr>
          <w:rFonts w:hint="eastAsia" w:ascii="仿宋" w:hAnsi="仿宋" w:eastAsia="仿宋" w:cs="仿宋"/>
          <w:sz w:val="21"/>
          <w:szCs w:val="21"/>
        </w:rPr>
        <w:t>桩体安装于户外时，应便于特殊天气条件下的日常维护，前、后侧应设置可开启的检修门，在开门处应设置安全警示标识。</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h)</w:t>
      </w:r>
      <w:r>
        <w:rPr>
          <w:rFonts w:hint="eastAsia" w:ascii="仿宋" w:hAnsi="仿宋" w:eastAsia="仿宋" w:cs="仿宋"/>
          <w:sz w:val="21"/>
          <w:szCs w:val="21"/>
        </w:rPr>
        <w:t>桩体应采用抗冲击力强、抗老化的材质。</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i)</w:t>
      </w:r>
      <w:r>
        <w:rPr>
          <w:rFonts w:hint="eastAsia" w:ascii="仿宋" w:hAnsi="仿宋" w:eastAsia="仿宋" w:cs="仿宋"/>
          <w:sz w:val="21"/>
          <w:szCs w:val="21"/>
        </w:rPr>
        <w:t>桩体表面涂覆色泽层应均匀光洁，不起泡、不龟裂、不脱落。</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j)</w:t>
      </w:r>
      <w:r>
        <w:rPr>
          <w:rFonts w:hint="eastAsia" w:ascii="仿宋" w:hAnsi="仿宋" w:eastAsia="仿宋" w:cs="仿宋"/>
          <w:sz w:val="21"/>
          <w:szCs w:val="21"/>
        </w:rPr>
        <w:t>桩体结构设计及安装应具备防盗能力。</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k)</w:t>
      </w:r>
      <w:r>
        <w:rPr>
          <w:rFonts w:hint="eastAsia" w:ascii="仿宋" w:hAnsi="仿宋" w:eastAsia="仿宋" w:cs="仿宋"/>
          <w:sz w:val="21"/>
          <w:szCs w:val="21"/>
        </w:rPr>
        <w:t>非绝缘材料外壳应可靠接地，高压部分应进行物理封闭，结构上应防止操作人员触及带电部件。</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l)</w:t>
      </w:r>
      <w:r>
        <w:rPr>
          <w:rFonts w:hint="eastAsia" w:ascii="仿宋" w:hAnsi="仿宋" w:eastAsia="仿宋" w:cs="仿宋"/>
          <w:sz w:val="21"/>
          <w:szCs w:val="21"/>
        </w:rPr>
        <w:t>人机交互的操作按键和显示界面应设置在便于人操作和查看的位置。</w:t>
      </w:r>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m)</w:t>
      </w:r>
      <w:r>
        <w:rPr>
          <w:rFonts w:hint="eastAsia" w:ascii="仿宋" w:hAnsi="仿宋" w:eastAsia="仿宋" w:cs="仿宋"/>
          <w:sz w:val="21"/>
          <w:szCs w:val="21"/>
        </w:rPr>
        <w:t>充电桩体模块输出线应采用耐180℃以上高温的软导线连接。</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19" w:name="_Toc428997287"/>
      <w:bookmarkStart w:id="120" w:name="_Toc24109"/>
      <w:bookmarkStart w:id="121" w:name="_Toc411176425"/>
      <w:bookmarkStart w:id="122" w:name="_Toc387646189"/>
      <w:bookmarkStart w:id="123" w:name="_Toc23341625"/>
      <w:r>
        <w:rPr>
          <w:rFonts w:hint="eastAsia" w:ascii="仿宋" w:hAnsi="仿宋" w:eastAsia="仿宋" w:cs="仿宋"/>
          <w:b/>
          <w:sz w:val="21"/>
          <w:szCs w:val="21"/>
        </w:rPr>
        <w:t>3.2.4.3可靠性指标</w:t>
      </w:r>
      <w:bookmarkEnd w:id="119"/>
      <w:bookmarkEnd w:id="120"/>
      <w:bookmarkEnd w:id="121"/>
      <w:bookmarkEnd w:id="122"/>
      <w:bookmarkEnd w:id="123"/>
    </w:p>
    <w:p>
      <w:pPr>
        <w:numPr>
          <w:ilvl w:val="0"/>
          <w:numId w:val="0"/>
        </w:numPr>
        <w:tabs>
          <w:tab w:val="left" w:pos="1134"/>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a)</w:t>
      </w:r>
      <w:r>
        <w:rPr>
          <w:rFonts w:hint="eastAsia" w:ascii="仿宋" w:hAnsi="仿宋" w:eastAsia="仿宋" w:cs="仿宋"/>
          <w:sz w:val="21"/>
          <w:szCs w:val="21"/>
        </w:rPr>
        <w:t>交流充电桩平均故障间隔时间（MTBF）应大于等于26280h。</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24" w:name="_Toc23341626"/>
      <w:bookmarkStart w:id="125" w:name="_Toc26376"/>
      <w:r>
        <w:rPr>
          <w:rFonts w:hint="eastAsia" w:ascii="仿宋" w:hAnsi="仿宋" w:eastAsia="仿宋" w:cs="仿宋"/>
          <w:b/>
          <w:sz w:val="21"/>
          <w:szCs w:val="21"/>
        </w:rPr>
        <w:t>3.2.4.4标准设备驱动接口</w:t>
      </w:r>
      <w:bookmarkEnd w:id="124"/>
      <w:r>
        <w:rPr>
          <w:rFonts w:hint="eastAsia" w:ascii="仿宋" w:hAnsi="仿宋" w:eastAsia="仿宋" w:cs="仿宋"/>
          <w:b/>
          <w:sz w:val="21"/>
          <w:szCs w:val="21"/>
        </w:rPr>
        <w:t>（按具体项目设计要求）</w:t>
      </w:r>
      <w:bookmarkEnd w:id="125"/>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26" w:name="_Toc23341631"/>
      <w:bookmarkStart w:id="127" w:name="_Toc11440"/>
      <w:r>
        <w:rPr>
          <w:rFonts w:hint="eastAsia" w:ascii="仿宋" w:hAnsi="仿宋" w:eastAsia="仿宋" w:cs="仿宋"/>
          <w:b/>
          <w:sz w:val="21"/>
          <w:szCs w:val="21"/>
        </w:rPr>
        <w:t>3.2.4.5铭牌与显示要求</w:t>
      </w:r>
      <w:bookmarkEnd w:id="126"/>
      <w:bookmarkEnd w:id="127"/>
    </w:p>
    <w:p>
      <w:pPr>
        <w:numPr>
          <w:ilvl w:val="0"/>
          <w:numId w:val="0"/>
        </w:numPr>
        <w:tabs>
          <w:tab w:val="left" w:pos="1140"/>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a)</w:t>
      </w:r>
      <w:r>
        <w:rPr>
          <w:rFonts w:hint="eastAsia" w:ascii="仿宋" w:hAnsi="仿宋" w:eastAsia="仿宋" w:cs="仿宋"/>
          <w:sz w:val="21"/>
          <w:szCs w:val="21"/>
        </w:rPr>
        <w:t>铭牌上应有下列标志：名称和型号；制造厂名；产品所依据的标准；编号和制造年份；标称电压、最小电流和最大电流；常数；准确度等级；计量单位（计量单位可在显示器中显示）。</w:t>
      </w:r>
    </w:p>
    <w:p>
      <w:pPr>
        <w:numPr>
          <w:ilvl w:val="0"/>
          <w:numId w:val="0"/>
        </w:numPr>
        <w:tabs>
          <w:tab w:val="left" w:pos="1140"/>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b)</w:t>
      </w:r>
      <w:r>
        <w:rPr>
          <w:rFonts w:hint="eastAsia" w:ascii="仿宋" w:hAnsi="仿宋" w:eastAsia="仿宋" w:cs="仿宋"/>
          <w:sz w:val="21"/>
          <w:szCs w:val="21"/>
        </w:rPr>
        <w:t>最小电能变量为0.001 kWh。</w:t>
      </w:r>
    </w:p>
    <w:p>
      <w:pPr>
        <w:numPr>
          <w:ilvl w:val="0"/>
          <w:numId w:val="0"/>
        </w:numPr>
        <w:tabs>
          <w:tab w:val="left" w:pos="1140"/>
        </w:tabs>
        <w:spacing w:line="240" w:lineRule="atLeast"/>
        <w:ind w:firstLine="420" w:firstLineChars="200"/>
        <w:rPr>
          <w:rFonts w:hint="eastAsia" w:ascii="仿宋" w:hAnsi="仿宋" w:eastAsia="仿宋" w:cs="仿宋"/>
          <w:sz w:val="21"/>
          <w:szCs w:val="21"/>
        </w:rPr>
      </w:pPr>
      <w:r>
        <w:rPr>
          <w:rFonts w:hint="default" w:ascii="仿宋" w:hAnsi="仿宋" w:eastAsia="仿宋" w:cs="仿宋"/>
          <w:kern w:val="2"/>
          <w:sz w:val="21"/>
          <w:szCs w:val="21"/>
          <w:lang w:val="en-US" w:eastAsia="zh-CN" w:bidi="ar-SA"/>
        </w:rPr>
        <w:t>c)</w:t>
      </w:r>
      <w:r>
        <w:rPr>
          <w:rFonts w:hint="eastAsia" w:ascii="仿宋" w:hAnsi="仿宋" w:eastAsia="仿宋" w:cs="仿宋"/>
          <w:sz w:val="21"/>
          <w:szCs w:val="21"/>
        </w:rPr>
        <w:t>充电桩电能量显示位数应不少于6 位(至少含3位小数)，付费金额含有2位小数。对具有分时计费功能的充电桩，当前时刻显示分辨力至少1 s。</w:t>
      </w:r>
    </w:p>
    <w:p>
      <w:pPr>
        <w:autoSpaceDE w:val="0"/>
        <w:autoSpaceDN w:val="0"/>
        <w:adjustRightInd w:val="0"/>
        <w:spacing w:line="240" w:lineRule="atLeast"/>
        <w:ind w:firstLine="422" w:firstLineChars="200"/>
        <w:jc w:val="left"/>
        <w:outlineLvl w:val="1"/>
        <w:rPr>
          <w:rFonts w:hint="eastAsia" w:ascii="仿宋" w:hAnsi="仿宋" w:eastAsia="仿宋" w:cs="仿宋"/>
          <w:b/>
          <w:sz w:val="21"/>
          <w:szCs w:val="21"/>
        </w:rPr>
      </w:pPr>
      <w:bookmarkStart w:id="128" w:name="_Toc23341632"/>
      <w:bookmarkStart w:id="129" w:name="_Toc18302"/>
      <w:r>
        <w:rPr>
          <w:rFonts w:hint="eastAsia" w:ascii="仿宋" w:hAnsi="仿宋" w:eastAsia="仿宋" w:cs="仿宋"/>
          <w:b/>
          <w:sz w:val="21"/>
          <w:szCs w:val="21"/>
        </w:rPr>
        <w:t>3.2.4.6计量输出接口</w:t>
      </w:r>
      <w:bookmarkEnd w:id="128"/>
      <w:bookmarkEnd w:id="129"/>
    </w:p>
    <w:p>
      <w:pPr>
        <w:pStyle w:val="4"/>
        <w:tabs>
          <w:tab w:val="left" w:pos="1140"/>
        </w:tabs>
        <w:spacing w:line="240" w:lineRule="atLeast"/>
        <w:rPr>
          <w:rFonts w:hint="eastAsia" w:ascii="仿宋" w:hAnsi="仿宋" w:eastAsia="仿宋" w:cs="仿宋"/>
          <w:sz w:val="21"/>
          <w:szCs w:val="21"/>
        </w:rPr>
      </w:pPr>
      <w:r>
        <w:rPr>
          <w:rFonts w:hint="eastAsia" w:ascii="仿宋" w:hAnsi="仿宋" w:eastAsia="仿宋" w:cs="仿宋"/>
          <w:sz w:val="21"/>
          <w:szCs w:val="21"/>
        </w:rPr>
        <w:t>充电桩应具有供测量误差的脉冲输出口，应与铭牌标志的常数一致。</w:t>
      </w:r>
    </w:p>
    <w:p>
      <w:pPr>
        <w:spacing w:line="360" w:lineRule="auto"/>
        <w:ind w:firstLine="422"/>
        <w:outlineLvl w:val="1"/>
        <w:rPr>
          <w:rFonts w:hint="eastAsia" w:ascii="仿宋" w:hAnsi="仿宋" w:eastAsia="仿宋" w:cs="仿宋"/>
          <w:sz w:val="21"/>
          <w:szCs w:val="21"/>
        </w:rPr>
      </w:pPr>
      <w:bookmarkStart w:id="130" w:name="_Toc14989"/>
      <w:bookmarkStart w:id="131" w:name="_Toc20081"/>
      <w:r>
        <w:rPr>
          <w:rFonts w:hint="eastAsia" w:ascii="仿宋" w:hAnsi="仿宋" w:eastAsia="仿宋" w:cs="仿宋"/>
          <w:b/>
          <w:sz w:val="21"/>
          <w:szCs w:val="21"/>
        </w:rPr>
        <w:t>3.3设备试验</w:t>
      </w:r>
      <w:bookmarkEnd w:id="130"/>
      <w:bookmarkEnd w:id="131"/>
    </w:p>
    <w:p>
      <w:pPr>
        <w:spacing w:line="360" w:lineRule="auto"/>
        <w:ind w:firstLine="422"/>
        <w:rPr>
          <w:rFonts w:hint="eastAsia" w:ascii="仿宋" w:hAnsi="仿宋" w:eastAsia="仿宋" w:cs="仿宋"/>
          <w:b/>
          <w:sz w:val="21"/>
          <w:szCs w:val="21"/>
        </w:rPr>
      </w:pPr>
      <w:r>
        <w:rPr>
          <w:rFonts w:hint="eastAsia" w:ascii="仿宋" w:hAnsi="仿宋" w:eastAsia="仿宋" w:cs="仿宋"/>
          <w:b/>
          <w:sz w:val="21"/>
          <w:szCs w:val="21"/>
        </w:rPr>
        <w:t>（1）设备型式试验</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型式试验应由国家认可的检验检测机构出具报告。（需具备CMA和CNAS资质，提供的型式检验报告需与采购设备的规格型号一致）</w:t>
      </w:r>
    </w:p>
    <w:p>
      <w:pPr>
        <w:spacing w:line="360" w:lineRule="auto"/>
        <w:ind w:firstLine="422"/>
        <w:rPr>
          <w:rFonts w:hint="eastAsia" w:ascii="仿宋" w:hAnsi="仿宋" w:eastAsia="仿宋" w:cs="仿宋"/>
          <w:b/>
          <w:sz w:val="21"/>
          <w:szCs w:val="21"/>
        </w:rPr>
      </w:pPr>
      <w:r>
        <w:rPr>
          <w:rFonts w:hint="eastAsia" w:ascii="仿宋" w:hAnsi="仿宋" w:eastAsia="仿宋" w:cs="仿宋"/>
          <w:b/>
          <w:sz w:val="21"/>
          <w:szCs w:val="21"/>
        </w:rPr>
        <w:t>（2）设备出厂试验</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投标方应在交货前5天通知招标方，招标方可指定第三方专业检测机构对合同设备进行抽检，抽检项目由招标方确定。如经检验和试验不符合本技术规范，招标方可以拒收、取消投标方中标资格、解除合同、扣押质量保证金。虚假应标的按相关法律、法规及规定处理。</w:t>
      </w:r>
    </w:p>
    <w:p>
      <w:pPr>
        <w:spacing w:line="360" w:lineRule="auto"/>
        <w:ind w:firstLine="422"/>
        <w:rPr>
          <w:rFonts w:hint="eastAsia" w:ascii="仿宋" w:hAnsi="仿宋" w:eastAsia="仿宋" w:cs="仿宋"/>
          <w:b/>
          <w:sz w:val="21"/>
          <w:szCs w:val="21"/>
        </w:rPr>
      </w:pPr>
      <w:r>
        <w:rPr>
          <w:rFonts w:hint="eastAsia" w:ascii="仿宋" w:hAnsi="仿宋" w:eastAsia="仿宋" w:cs="仿宋"/>
          <w:b/>
          <w:sz w:val="21"/>
          <w:szCs w:val="21"/>
        </w:rPr>
        <w:t>（3）联调接入试验</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根据项目建设需要和充电服务需求，测试本工程所涉及内容的设备性能、各部分设备功能等是否按照要求完成。投标人应出具书面试验报告。</w:t>
      </w:r>
    </w:p>
    <w:p>
      <w:pPr>
        <w:ind w:firstLine="422" w:firstLineChars="200"/>
        <w:rPr>
          <w:rFonts w:hint="eastAsia" w:ascii="仿宋" w:hAnsi="仿宋" w:eastAsia="仿宋" w:cs="仿宋"/>
          <w:b/>
          <w:sz w:val="21"/>
          <w:szCs w:val="21"/>
        </w:rPr>
      </w:pPr>
      <w:r>
        <w:rPr>
          <w:rFonts w:hint="eastAsia" w:ascii="仿宋" w:hAnsi="仿宋" w:eastAsia="仿宋" w:cs="仿宋"/>
          <w:b/>
          <w:sz w:val="21"/>
          <w:szCs w:val="21"/>
        </w:rPr>
        <w:t>（4）交接试验</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交接试验检检测主要判定工程是否符合规定要求，确保通电投入运行的安全、可靠。投标人应出具书面试验报告。</w:t>
      </w:r>
    </w:p>
    <w:p>
      <w:pPr>
        <w:spacing w:line="360" w:lineRule="auto"/>
        <w:ind w:firstLine="422"/>
        <w:outlineLvl w:val="1"/>
        <w:rPr>
          <w:rFonts w:hint="eastAsia" w:ascii="仿宋" w:hAnsi="仿宋" w:eastAsia="仿宋" w:cs="仿宋"/>
          <w:b/>
          <w:sz w:val="21"/>
          <w:szCs w:val="21"/>
        </w:rPr>
      </w:pPr>
      <w:bookmarkStart w:id="132" w:name="_Toc3594"/>
      <w:bookmarkStart w:id="133" w:name="_Toc9077"/>
      <w:r>
        <w:rPr>
          <w:rFonts w:hint="eastAsia" w:ascii="仿宋" w:hAnsi="仿宋" w:eastAsia="仿宋" w:cs="仿宋"/>
          <w:b/>
          <w:sz w:val="21"/>
          <w:szCs w:val="21"/>
        </w:rPr>
        <w:t>3.4备品备件</w:t>
      </w:r>
      <w:bookmarkEnd w:id="132"/>
      <w:bookmarkEnd w:id="133"/>
    </w:p>
    <w:p>
      <w:pPr>
        <w:ind w:firstLine="420"/>
        <w:rPr>
          <w:rFonts w:hint="eastAsia" w:ascii="仿宋" w:hAnsi="仿宋" w:eastAsia="仿宋" w:cs="仿宋"/>
          <w:sz w:val="21"/>
          <w:szCs w:val="21"/>
        </w:rPr>
      </w:pPr>
      <w:r>
        <w:rPr>
          <w:rFonts w:hint="eastAsia" w:ascii="仿宋" w:hAnsi="仿宋" w:eastAsia="仿宋" w:cs="仿宋"/>
          <w:sz w:val="21"/>
          <w:szCs w:val="21"/>
        </w:rPr>
        <w:t>投标人应根据设备运行经验提供合理的备品、备件，并在投标方案中详细描述充电模块、接触器、熔断器、充电枪线等备品备件型号和数量。</w:t>
      </w:r>
    </w:p>
    <w:tbl>
      <w:tblPr>
        <w:tblStyle w:val="10"/>
        <w:tblW w:w="832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0"/>
        <w:gridCol w:w="2044"/>
        <w:gridCol w:w="2044"/>
        <w:gridCol w:w="1703"/>
        <w:gridCol w:w="17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vMerge w:val="restart"/>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bookmarkStart w:id="134" w:name="_Toc146166495"/>
            <w:r>
              <w:rPr>
                <w:rFonts w:hint="eastAsia" w:ascii="仿宋" w:hAnsi="仿宋" w:eastAsia="仿宋" w:cs="仿宋"/>
                <w:sz w:val="21"/>
                <w:szCs w:val="21"/>
              </w:rPr>
              <w:t>序号</w:t>
            </w:r>
            <w:bookmarkEnd w:id="134"/>
          </w:p>
        </w:tc>
        <w:tc>
          <w:tcPr>
            <w:tcW w:w="2044" w:type="dxa"/>
            <w:vMerge w:val="restart"/>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bookmarkStart w:id="135" w:name="_Toc146166496"/>
            <w:r>
              <w:rPr>
                <w:rFonts w:hint="eastAsia" w:ascii="仿宋" w:hAnsi="仿宋" w:eastAsia="仿宋" w:cs="仿宋"/>
                <w:sz w:val="21"/>
                <w:szCs w:val="21"/>
              </w:rPr>
              <w:t>名称</w:t>
            </w:r>
            <w:bookmarkEnd w:id="135"/>
          </w:p>
        </w:tc>
        <w:tc>
          <w:tcPr>
            <w:tcW w:w="2044" w:type="dxa"/>
            <w:vMerge w:val="restart"/>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bookmarkStart w:id="136" w:name="_Toc146166497"/>
            <w:r>
              <w:rPr>
                <w:rFonts w:hint="eastAsia" w:ascii="仿宋" w:hAnsi="仿宋" w:eastAsia="仿宋" w:cs="仿宋"/>
                <w:sz w:val="21"/>
                <w:szCs w:val="21"/>
              </w:rPr>
              <w:t>单位</w:t>
            </w:r>
            <w:bookmarkEnd w:id="136"/>
          </w:p>
        </w:tc>
        <w:tc>
          <w:tcPr>
            <w:tcW w:w="3408" w:type="dxa"/>
            <w:gridSpan w:val="2"/>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vMerge w:val="continue"/>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p>
        </w:tc>
        <w:tc>
          <w:tcPr>
            <w:tcW w:w="2044" w:type="dxa"/>
            <w:vMerge w:val="continue"/>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p>
        </w:tc>
        <w:tc>
          <w:tcPr>
            <w:tcW w:w="2044" w:type="dxa"/>
            <w:vMerge w:val="continue"/>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p>
        </w:tc>
        <w:tc>
          <w:tcPr>
            <w:tcW w:w="1703"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需求内容</w:t>
            </w:r>
          </w:p>
        </w:tc>
        <w:tc>
          <w:tcPr>
            <w:tcW w:w="1705"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bookmarkStart w:id="137" w:name="_Toc146166499"/>
            <w:r>
              <w:rPr>
                <w:rFonts w:hint="eastAsia" w:ascii="仿宋" w:hAnsi="仿宋" w:eastAsia="仿宋" w:cs="仿宋"/>
                <w:sz w:val="21"/>
                <w:szCs w:val="21"/>
              </w:rPr>
              <w:t>数量</w:t>
            </w:r>
            <w:bookmarkEnd w:id="137"/>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30"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bookmarkStart w:id="138" w:name="_Toc146166502"/>
            <w:r>
              <w:rPr>
                <w:rFonts w:hint="eastAsia" w:ascii="仿宋" w:hAnsi="仿宋" w:eastAsia="仿宋" w:cs="仿宋"/>
                <w:sz w:val="21"/>
                <w:szCs w:val="21"/>
              </w:rPr>
              <w:t>1</w:t>
            </w:r>
            <w:bookmarkEnd w:id="138"/>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充电模块</w:t>
            </w:r>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台</w:t>
            </w:r>
          </w:p>
        </w:tc>
        <w:tc>
          <w:tcPr>
            <w:tcW w:w="1703"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与充电机匹配</w:t>
            </w:r>
          </w:p>
        </w:tc>
        <w:tc>
          <w:tcPr>
            <w:tcW w:w="1705"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30"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bookmarkStart w:id="139" w:name="_Toc146166503"/>
            <w:r>
              <w:rPr>
                <w:rFonts w:hint="eastAsia" w:ascii="仿宋" w:hAnsi="仿宋" w:eastAsia="仿宋" w:cs="仿宋"/>
                <w:sz w:val="21"/>
                <w:szCs w:val="21"/>
              </w:rPr>
              <w:t>2</w:t>
            </w:r>
            <w:bookmarkEnd w:id="139"/>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接触器</w:t>
            </w:r>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个</w:t>
            </w:r>
          </w:p>
        </w:tc>
        <w:tc>
          <w:tcPr>
            <w:tcW w:w="1703"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与充电机匹配</w:t>
            </w:r>
          </w:p>
        </w:tc>
        <w:tc>
          <w:tcPr>
            <w:tcW w:w="1705"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30"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3</w:t>
            </w:r>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熔断器</w:t>
            </w:r>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个</w:t>
            </w:r>
          </w:p>
        </w:tc>
        <w:tc>
          <w:tcPr>
            <w:tcW w:w="1703"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与充电机匹配</w:t>
            </w:r>
          </w:p>
        </w:tc>
        <w:tc>
          <w:tcPr>
            <w:tcW w:w="1705"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30"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4</w:t>
            </w:r>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断路器</w:t>
            </w:r>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个</w:t>
            </w:r>
          </w:p>
        </w:tc>
        <w:tc>
          <w:tcPr>
            <w:tcW w:w="1703"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与充电机匹配</w:t>
            </w:r>
          </w:p>
        </w:tc>
        <w:tc>
          <w:tcPr>
            <w:tcW w:w="1705"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830"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5</w:t>
            </w:r>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充电枪（含线）</w:t>
            </w:r>
          </w:p>
        </w:tc>
        <w:tc>
          <w:tcPr>
            <w:tcW w:w="2044"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条</w:t>
            </w:r>
          </w:p>
        </w:tc>
        <w:tc>
          <w:tcPr>
            <w:tcW w:w="1703"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与充电机匹配</w:t>
            </w:r>
          </w:p>
        </w:tc>
        <w:tc>
          <w:tcPr>
            <w:tcW w:w="1705" w:type="dxa"/>
            <w:noWrap w:val="0"/>
            <w:tcMar>
              <w:left w:w="0" w:type="dxa"/>
              <w:right w:w="0" w:type="dxa"/>
            </w:tcMar>
            <w:vAlign w:val="center"/>
          </w:tcPr>
          <w:p>
            <w:pPr>
              <w:pStyle w:val="14"/>
              <w:overflowPunct w:val="0"/>
              <w:spacing w:before="78" w:beforeLines="25" w:after="78" w:afterLines="25"/>
              <w:ind w:left="63" w:right="63"/>
              <w:rPr>
                <w:rFonts w:hint="eastAsia" w:ascii="仿宋" w:hAnsi="仿宋" w:eastAsia="仿宋" w:cs="仿宋"/>
                <w:sz w:val="21"/>
                <w:szCs w:val="21"/>
              </w:rPr>
            </w:pPr>
            <w:r>
              <w:rPr>
                <w:rFonts w:hint="eastAsia" w:ascii="仿宋" w:hAnsi="仿宋" w:eastAsia="仿宋" w:cs="仿宋"/>
                <w:sz w:val="21"/>
                <w:szCs w:val="21"/>
              </w:rPr>
              <w:t>1</w:t>
            </w:r>
          </w:p>
        </w:tc>
      </w:tr>
    </w:tbl>
    <w:p>
      <w:pPr>
        <w:spacing w:line="360" w:lineRule="auto"/>
        <w:ind w:firstLine="422"/>
        <w:outlineLvl w:val="1"/>
        <w:rPr>
          <w:rFonts w:hint="eastAsia" w:ascii="仿宋" w:hAnsi="仿宋" w:eastAsia="仿宋" w:cs="仿宋"/>
          <w:b/>
          <w:sz w:val="21"/>
          <w:szCs w:val="21"/>
        </w:rPr>
      </w:pPr>
      <w:bookmarkStart w:id="140" w:name="_Toc22270"/>
      <w:bookmarkStart w:id="141" w:name="_Toc28279"/>
      <w:r>
        <w:rPr>
          <w:rFonts w:hint="eastAsia" w:ascii="仿宋" w:hAnsi="仿宋" w:eastAsia="仿宋" w:cs="仿宋"/>
          <w:b/>
          <w:sz w:val="21"/>
          <w:szCs w:val="21"/>
        </w:rPr>
        <w:t>3.5 其他要求</w:t>
      </w:r>
      <w:bookmarkEnd w:id="140"/>
      <w:bookmarkEnd w:id="141"/>
    </w:p>
    <w:p>
      <w:pPr>
        <w:ind w:firstLine="420" w:firstLineChars="200"/>
        <w:rPr>
          <w:rFonts w:hint="eastAsia" w:ascii="仿宋" w:hAnsi="仿宋" w:eastAsia="仿宋" w:cs="仿宋"/>
          <w:sz w:val="21"/>
          <w:szCs w:val="21"/>
        </w:rPr>
      </w:pPr>
      <w:r>
        <w:rPr>
          <w:rFonts w:hint="eastAsia" w:ascii="仿宋" w:hAnsi="仿宋" w:eastAsia="仿宋" w:cs="仿宋"/>
          <w:sz w:val="21"/>
          <w:szCs w:val="21"/>
        </w:rPr>
        <w:t>中标人应配合完成本工程业扩报装和竣工报验并提供相应材料。</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中标人提供主要设备、产品说明书和试验报告，提供充电设备联调测试报告，及其他必要提供的材料。</w:t>
      </w:r>
    </w:p>
    <w:p>
      <w:pPr>
        <w:pStyle w:val="3"/>
        <w:numPr>
          <w:ilvl w:val="0"/>
          <w:numId w:val="0"/>
        </w:numPr>
        <w:tabs>
          <w:tab w:val="left" w:pos="425"/>
        </w:tabs>
        <w:spacing w:before="0" w:after="0" w:line="360" w:lineRule="auto"/>
        <w:ind w:leftChars="0"/>
        <w:rPr>
          <w:rFonts w:hint="eastAsia" w:ascii="仿宋" w:hAnsi="仿宋" w:eastAsia="仿宋" w:cs="仿宋"/>
          <w:color w:val="000000"/>
          <w:sz w:val="21"/>
          <w:szCs w:val="21"/>
        </w:rPr>
      </w:pPr>
      <w:bookmarkStart w:id="142" w:name="_Toc23604"/>
      <w:bookmarkStart w:id="143" w:name="_Toc5140"/>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四</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rPr>
        <w:t>现场验收</w:t>
      </w:r>
      <w:bookmarkEnd w:id="142"/>
      <w:bookmarkEnd w:id="143"/>
    </w:p>
    <w:p>
      <w:pPr>
        <w:ind w:firstLine="420" w:firstLineChars="200"/>
        <w:rPr>
          <w:rFonts w:hint="eastAsia" w:ascii="仿宋" w:hAnsi="仿宋" w:eastAsia="仿宋" w:cs="仿宋"/>
          <w:sz w:val="21"/>
          <w:szCs w:val="21"/>
        </w:rPr>
      </w:pPr>
      <w:r>
        <w:rPr>
          <w:rFonts w:hint="eastAsia" w:ascii="仿宋" w:hAnsi="仿宋" w:eastAsia="仿宋" w:cs="仿宋"/>
          <w:sz w:val="21"/>
          <w:szCs w:val="21"/>
        </w:rPr>
        <w:t>开箱检查及出厂型式试验。</w:t>
      </w:r>
    </w:p>
    <w:p>
      <w:pPr>
        <w:pStyle w:val="3"/>
        <w:numPr>
          <w:ilvl w:val="0"/>
          <w:numId w:val="0"/>
        </w:numPr>
        <w:tabs>
          <w:tab w:val="left" w:pos="425"/>
        </w:tabs>
        <w:spacing w:before="0" w:after="0" w:line="360" w:lineRule="auto"/>
        <w:ind w:leftChars="0"/>
        <w:rPr>
          <w:rFonts w:hint="eastAsia" w:ascii="仿宋" w:hAnsi="仿宋" w:eastAsia="仿宋" w:cs="仿宋"/>
          <w:color w:val="000000"/>
          <w:sz w:val="21"/>
          <w:szCs w:val="21"/>
        </w:rPr>
      </w:pPr>
      <w:bookmarkStart w:id="144" w:name="_Toc490064901"/>
      <w:bookmarkStart w:id="145" w:name="_Toc18145"/>
      <w:bookmarkStart w:id="146" w:name="_Toc18289"/>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五</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rPr>
        <w:t>售后维修及质保</w:t>
      </w:r>
      <w:bookmarkEnd w:id="144"/>
      <w:bookmarkEnd w:id="145"/>
      <w:bookmarkEnd w:id="146"/>
    </w:p>
    <w:p>
      <w:pPr>
        <w:ind w:firstLine="420" w:firstLineChars="200"/>
        <w:rPr>
          <w:rFonts w:hint="eastAsia" w:ascii="仿宋" w:hAnsi="仿宋" w:eastAsia="仿宋" w:cs="仿宋"/>
          <w:b/>
          <w:sz w:val="21"/>
          <w:szCs w:val="21"/>
        </w:rPr>
      </w:pPr>
      <w:r>
        <w:rPr>
          <w:rFonts w:hint="eastAsia" w:ascii="仿宋" w:hAnsi="仿宋" w:eastAsia="仿宋" w:cs="仿宋"/>
          <w:sz w:val="21"/>
          <w:szCs w:val="21"/>
        </w:rPr>
        <w:t>合同设备（含配套软件）质保期不低于</w:t>
      </w:r>
      <w:r>
        <w:rPr>
          <w:rFonts w:hint="eastAsia" w:ascii="仿宋" w:hAnsi="仿宋" w:eastAsia="仿宋" w:cs="仿宋"/>
          <w:b/>
          <w:color w:val="FF0000"/>
          <w:sz w:val="21"/>
          <w:szCs w:val="21"/>
        </w:rPr>
        <w:t>设备投运后36个月</w:t>
      </w:r>
      <w:r>
        <w:rPr>
          <w:rFonts w:hint="eastAsia" w:ascii="仿宋" w:hAnsi="仿宋" w:eastAsia="仿宋" w:cs="仿宋"/>
          <w:sz w:val="21"/>
          <w:szCs w:val="21"/>
        </w:rPr>
        <w:t>。在质保期内，质保服务为软件的现场升级、故障部件现场更换、设备的现场维修与维护以及电话技术支持等服务，不再收取额外费用；设备出现质量问题，投标人须在5天内无偿更换损坏的零部件，无法修复的需更换全新设备；更换后的故障存储介质由买方拥有，不得带离招标人现场；</w:t>
      </w:r>
      <w:r>
        <w:rPr>
          <w:rFonts w:hint="eastAsia" w:ascii="仿宋" w:hAnsi="仿宋" w:eastAsia="仿宋" w:cs="仿宋"/>
          <w:b/>
          <w:sz w:val="21"/>
          <w:szCs w:val="21"/>
        </w:rPr>
        <w:t>投标人须根据最新发布实施的国家标准对设备进行免费升级和改造。</w:t>
      </w:r>
    </w:p>
    <w:p>
      <w:pPr>
        <w:ind w:firstLine="420" w:firstLineChars="200"/>
        <w:rPr>
          <w:rFonts w:hint="eastAsia" w:ascii="仿宋" w:hAnsi="仿宋" w:eastAsia="仿宋" w:cs="仿宋"/>
          <w:sz w:val="21"/>
          <w:szCs w:val="21"/>
        </w:rPr>
      </w:pPr>
      <w:r>
        <w:rPr>
          <w:rFonts w:hint="eastAsia" w:ascii="仿宋" w:hAnsi="仿宋" w:eastAsia="仿宋" w:cs="仿宋"/>
          <w:sz w:val="21"/>
          <w:szCs w:val="21"/>
        </w:rPr>
        <w:t>质保服务响应时间：设备出现故障时必须在2小时内对买方所提出的维修要求做出响应。</w:t>
      </w:r>
    </w:p>
    <w:p>
      <w:pPr>
        <w:pStyle w:val="3"/>
        <w:numPr>
          <w:ilvl w:val="0"/>
          <w:numId w:val="0"/>
        </w:numPr>
        <w:tabs>
          <w:tab w:val="left" w:pos="425"/>
        </w:tabs>
        <w:spacing w:before="0" w:after="0" w:line="360" w:lineRule="auto"/>
        <w:ind w:leftChars="0"/>
        <w:rPr>
          <w:rFonts w:hint="eastAsia" w:ascii="仿宋" w:hAnsi="仿宋" w:eastAsia="仿宋" w:cs="仿宋"/>
          <w:color w:val="000000"/>
          <w:sz w:val="21"/>
          <w:szCs w:val="21"/>
        </w:rPr>
      </w:pPr>
      <w:bookmarkStart w:id="147" w:name="_Toc22640"/>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lang w:val="en-US" w:eastAsia="zh-CN"/>
        </w:rPr>
        <w:t>六</w:t>
      </w:r>
      <w:r>
        <w:rPr>
          <w:rFonts w:hint="eastAsia" w:ascii="仿宋" w:hAnsi="仿宋" w:eastAsia="仿宋" w:cs="仿宋"/>
          <w:color w:val="000000"/>
          <w:sz w:val="21"/>
          <w:szCs w:val="21"/>
          <w:lang w:eastAsia="zh-CN"/>
        </w:rPr>
        <w:t>）</w:t>
      </w:r>
      <w:r>
        <w:rPr>
          <w:rFonts w:hint="eastAsia" w:ascii="仿宋" w:hAnsi="仿宋" w:eastAsia="仿宋" w:cs="仿宋"/>
          <w:color w:val="000000"/>
          <w:sz w:val="21"/>
          <w:szCs w:val="21"/>
        </w:rPr>
        <w:t>技术原则</w:t>
      </w:r>
      <w:bookmarkEnd w:id="147"/>
    </w:p>
    <w:p>
      <w:pPr>
        <w:pStyle w:val="4"/>
        <w:tabs>
          <w:tab w:val="left" w:pos="525"/>
        </w:tabs>
        <w:spacing w:line="400" w:lineRule="exact"/>
        <w:rPr>
          <w:rFonts w:hint="eastAsia" w:ascii="仿宋" w:hAnsi="仿宋" w:eastAsia="仿宋" w:cs="仿宋"/>
          <w:sz w:val="21"/>
          <w:szCs w:val="21"/>
          <w:lang w:val="en"/>
        </w:rPr>
      </w:pPr>
      <w:r>
        <w:rPr>
          <w:rFonts w:hint="eastAsia" w:ascii="仿宋" w:hAnsi="仿宋" w:eastAsia="仿宋" w:cs="仿宋"/>
          <w:sz w:val="21"/>
          <w:szCs w:val="21"/>
        </w:rPr>
        <w:t>1.充电桩应采用组件化设计，</w:t>
      </w:r>
      <w:r>
        <w:rPr>
          <w:rFonts w:hint="eastAsia" w:ascii="仿宋" w:hAnsi="仿宋" w:eastAsia="仿宋" w:cs="仿宋"/>
          <w:sz w:val="21"/>
          <w:szCs w:val="21"/>
          <w:lang w:val="en"/>
        </w:rPr>
        <w:t>根据使用场合的不同可以采取不同的组件组合。</w:t>
      </w:r>
    </w:p>
    <w:p>
      <w:pPr>
        <w:pStyle w:val="4"/>
        <w:tabs>
          <w:tab w:val="left" w:pos="525"/>
        </w:tabs>
        <w:spacing w:line="400" w:lineRule="exact"/>
        <w:rPr>
          <w:rFonts w:hint="eastAsia" w:ascii="仿宋" w:hAnsi="仿宋" w:eastAsia="仿宋" w:cs="仿宋"/>
          <w:sz w:val="21"/>
          <w:szCs w:val="21"/>
          <w:lang w:val="en"/>
        </w:rPr>
      </w:pPr>
      <w:r>
        <w:rPr>
          <w:rFonts w:hint="eastAsia" w:ascii="仿宋" w:hAnsi="仿宋" w:eastAsia="仿宋" w:cs="仿宋"/>
          <w:sz w:val="21"/>
          <w:szCs w:val="21"/>
        </w:rPr>
        <w:t>2.</w:t>
      </w:r>
      <w:r>
        <w:rPr>
          <w:rFonts w:hint="eastAsia" w:ascii="仿宋" w:hAnsi="仿宋" w:eastAsia="仿宋" w:cs="仿宋"/>
          <w:sz w:val="21"/>
          <w:szCs w:val="21"/>
          <w:lang w:val="en"/>
        </w:rPr>
        <w:t>充电桩应可以联网管理或者单机运行。通过网络与车联网平台连接后，通过车联网平台进行充电收费与结算；单机运行要求在不需要连网的场景下通过刷卡启停管控充电。</w:t>
      </w:r>
    </w:p>
    <w:p>
      <w:pPr>
        <w:pStyle w:val="4"/>
        <w:tabs>
          <w:tab w:val="left" w:pos="525"/>
        </w:tabs>
        <w:spacing w:line="400" w:lineRule="exact"/>
        <w:rPr>
          <w:rFonts w:hint="eastAsia" w:ascii="仿宋" w:hAnsi="仿宋" w:eastAsia="仿宋" w:cs="仿宋"/>
          <w:sz w:val="21"/>
          <w:szCs w:val="21"/>
          <w:lang w:val="en"/>
        </w:rPr>
      </w:pPr>
      <w:r>
        <w:rPr>
          <w:rFonts w:hint="eastAsia" w:ascii="仿宋" w:hAnsi="仿宋" w:eastAsia="仿宋" w:cs="仿宋"/>
          <w:sz w:val="21"/>
          <w:szCs w:val="21"/>
        </w:rPr>
        <w:t>3.</w:t>
      </w:r>
      <w:r>
        <w:rPr>
          <w:rFonts w:hint="eastAsia" w:ascii="仿宋" w:hAnsi="仿宋" w:eastAsia="仿宋" w:cs="仿宋"/>
          <w:sz w:val="21"/>
          <w:szCs w:val="21"/>
          <w:lang w:val="en"/>
        </w:rPr>
        <w:t>在充电桩分散安装时，可以直接通过4G/2G模块与车联网平台连接。</w:t>
      </w:r>
    </w:p>
    <w:p>
      <w:pPr>
        <w:pStyle w:val="4"/>
        <w:tabs>
          <w:tab w:val="left" w:pos="525"/>
        </w:tabs>
        <w:spacing w:line="400" w:lineRule="exact"/>
        <w:rPr>
          <w:rFonts w:hint="eastAsia" w:ascii="仿宋" w:hAnsi="仿宋" w:eastAsia="仿宋" w:cs="仿宋"/>
          <w:sz w:val="21"/>
          <w:szCs w:val="21"/>
          <w:lang w:val="en"/>
        </w:rPr>
      </w:pPr>
      <w:r>
        <w:rPr>
          <w:rFonts w:hint="eastAsia" w:ascii="仿宋" w:hAnsi="仿宋" w:eastAsia="仿宋" w:cs="仿宋"/>
          <w:sz w:val="21"/>
          <w:szCs w:val="21"/>
        </w:rPr>
        <w:t>4.</w:t>
      </w:r>
      <w:r>
        <w:rPr>
          <w:rFonts w:hint="eastAsia" w:ascii="仿宋" w:hAnsi="仿宋" w:eastAsia="仿宋" w:cs="仿宋"/>
          <w:sz w:val="21"/>
          <w:szCs w:val="21"/>
          <w:lang w:val="en"/>
        </w:rPr>
        <w:t>在充电桩集中安装时，可以通过数据传输单元集中后与车联网平台连接。</w:t>
      </w:r>
    </w:p>
    <w:p>
      <w:pPr>
        <w:pStyle w:val="4"/>
        <w:tabs>
          <w:tab w:val="left" w:pos="525"/>
        </w:tabs>
        <w:spacing w:line="400" w:lineRule="exact"/>
        <w:rPr>
          <w:rFonts w:hint="eastAsia" w:ascii="仿宋" w:hAnsi="仿宋" w:eastAsia="仿宋" w:cs="仿宋"/>
          <w:sz w:val="21"/>
          <w:szCs w:val="21"/>
          <w:lang w:val="en"/>
        </w:rPr>
      </w:pPr>
      <w:r>
        <w:rPr>
          <w:rFonts w:hint="eastAsia" w:ascii="仿宋" w:hAnsi="仿宋" w:eastAsia="仿宋" w:cs="仿宋"/>
          <w:sz w:val="21"/>
          <w:szCs w:val="21"/>
        </w:rPr>
        <w:t>5</w:t>
      </w:r>
      <w:r>
        <w:rPr>
          <w:rFonts w:hint="eastAsia" w:ascii="仿宋" w:hAnsi="仿宋" w:eastAsia="仿宋" w:cs="仿宋"/>
          <w:sz w:val="21"/>
          <w:szCs w:val="21"/>
          <w:lang w:val="en"/>
        </w:rPr>
        <w:t xml:space="preserve">.有线网络离线后自动切换为物联网卡流量运行。 </w:t>
      </w:r>
    </w:p>
    <w:p>
      <w:pPr>
        <w:pStyle w:val="4"/>
        <w:tabs>
          <w:tab w:val="left" w:pos="525"/>
        </w:tabs>
        <w:spacing w:line="400" w:lineRule="exact"/>
        <w:rPr>
          <w:rFonts w:hint="eastAsia" w:ascii="仿宋" w:hAnsi="仿宋" w:eastAsia="仿宋" w:cs="仿宋"/>
          <w:sz w:val="21"/>
          <w:szCs w:val="21"/>
          <w:lang w:val="en"/>
        </w:rPr>
      </w:pPr>
      <w:r>
        <w:rPr>
          <w:rFonts w:hint="eastAsia" w:ascii="仿宋" w:hAnsi="仿宋" w:eastAsia="仿宋" w:cs="仿宋"/>
          <w:sz w:val="21"/>
          <w:szCs w:val="21"/>
        </w:rPr>
        <w:t>6</w:t>
      </w:r>
      <w:r>
        <w:rPr>
          <w:rFonts w:hint="eastAsia" w:ascii="仿宋" w:hAnsi="仿宋" w:eastAsia="仿宋" w:cs="仿宋"/>
          <w:sz w:val="21"/>
          <w:szCs w:val="21"/>
          <w:lang w:val="en"/>
        </w:rPr>
        <w:t xml:space="preserve">.充电桩应能读取物联网卡卡号并上传安培平台或以采购需求方为准。 </w:t>
      </w:r>
    </w:p>
    <w:p>
      <w:pPr>
        <w:pStyle w:val="9"/>
        <w:pageBreakBefore w:val="0"/>
        <w:kinsoku/>
        <w:wordWrap/>
        <w:overflowPunct/>
        <w:topLinePunct w:val="0"/>
        <w:bidi w:val="0"/>
        <w:adjustRightInd w:val="0"/>
        <w:snapToGrid w:val="0"/>
        <w:spacing w:before="0" w:beforeAutospacing="0" w:after="0" w:afterAutospacing="0" w:line="460" w:lineRule="exact"/>
        <w:ind w:firstLine="420" w:firstLineChars="200"/>
        <w:jc w:val="both"/>
        <w:rPr>
          <w:rFonts w:hint="eastAsia" w:ascii="仿宋" w:hAnsi="仿宋" w:eastAsia="仿宋" w:cs="仿宋"/>
          <w:sz w:val="21"/>
          <w:szCs w:val="21"/>
          <w:lang w:val="en"/>
        </w:rPr>
      </w:pPr>
      <w:r>
        <w:rPr>
          <w:rFonts w:hint="eastAsia" w:ascii="仿宋" w:hAnsi="仿宋" w:eastAsia="仿宋" w:cs="仿宋"/>
          <w:sz w:val="21"/>
          <w:szCs w:val="21"/>
        </w:rPr>
        <w:t>7</w:t>
      </w:r>
      <w:r>
        <w:rPr>
          <w:rFonts w:hint="eastAsia" w:ascii="仿宋" w:hAnsi="仿宋" w:eastAsia="仿宋" w:cs="仿宋"/>
          <w:sz w:val="21"/>
          <w:szCs w:val="21"/>
          <w:lang w:val="en"/>
        </w:rPr>
        <w:t>.具备功率可调能力。投运前需按《电动汽车公共充电桩信息化服务平台：平台与充电桩通信规约》与平台完成联调，以平台最新要求为准，经网络及通信联调测试均通过后方可投运。</w:t>
      </w:r>
    </w:p>
    <w:p>
      <w:pPr>
        <w:pStyle w:val="8"/>
        <w:jc w:val="center"/>
        <w:rPr>
          <w:rFonts w:hint="eastAsia" w:ascii="仿宋" w:hAnsi="仿宋" w:eastAsia="仿宋" w:cs="仿宋"/>
          <w:b/>
          <w:bCs/>
          <w:sz w:val="21"/>
          <w:szCs w:val="21"/>
          <w:lang w:val="en-US" w:eastAsia="zh-CN"/>
        </w:rPr>
      </w:pPr>
    </w:p>
    <w:p>
      <w:pPr>
        <w:pStyle w:val="8"/>
        <w:jc w:val="center"/>
        <w:rPr>
          <w:rFonts w:hint="eastAsia" w:ascii="仿宋" w:hAnsi="仿宋" w:eastAsia="仿宋" w:cs="仿宋"/>
          <w:b/>
          <w:bCs/>
          <w:sz w:val="21"/>
          <w:szCs w:val="21"/>
          <w:lang w:val="en-US" w:eastAsia="zh-CN"/>
        </w:rPr>
      </w:pPr>
    </w:p>
    <w:p>
      <w:pPr>
        <w:pStyle w:val="8"/>
        <w:jc w:val="center"/>
        <w:rPr>
          <w:rFonts w:hint="eastAsia" w:ascii="仿宋" w:hAnsi="仿宋" w:eastAsia="仿宋" w:cs="仿宋"/>
          <w:b/>
          <w:bCs/>
          <w:sz w:val="21"/>
          <w:szCs w:val="21"/>
          <w:lang w:val="en-US" w:eastAsia="zh-CN"/>
        </w:rPr>
      </w:pPr>
    </w:p>
    <w:p>
      <w:pPr>
        <w:pStyle w:val="8"/>
        <w:jc w:val="center"/>
        <w:rPr>
          <w:rFonts w:hint="eastAsia" w:ascii="仿宋" w:hAnsi="仿宋" w:eastAsia="仿宋" w:cs="仿宋"/>
          <w:b/>
          <w:bCs/>
          <w:sz w:val="21"/>
          <w:szCs w:val="21"/>
          <w:lang w:val="en-US" w:eastAsia="zh-CN"/>
        </w:rPr>
      </w:pPr>
    </w:p>
    <w:p>
      <w:pPr>
        <w:pStyle w:val="8"/>
        <w:jc w:val="both"/>
        <w:rPr>
          <w:rFonts w:hint="eastAsia" w:ascii="仿宋" w:hAnsi="仿宋" w:eastAsia="仿宋" w:cs="仿宋"/>
          <w:b/>
          <w:bCs/>
          <w:sz w:val="21"/>
          <w:szCs w:val="21"/>
          <w:lang w:val="en-US" w:eastAsia="zh-CN"/>
        </w:rPr>
      </w:pPr>
    </w:p>
    <w:p>
      <w:pPr>
        <w:pStyle w:val="15"/>
        <w:keepNext/>
        <w:keepLines/>
        <w:widowControl w:val="0"/>
        <w:shd w:val="clear" w:color="auto" w:fill="auto"/>
        <w:bidi w:val="0"/>
        <w:spacing w:before="0" w:after="0" w:line="240" w:lineRule="auto"/>
        <w:ind w:left="0" w:right="0" w:firstLine="0"/>
        <w:jc w:val="both"/>
        <w:rPr>
          <w:rFonts w:hint="eastAsia" w:ascii="仿宋" w:hAnsi="仿宋" w:eastAsia="仿宋" w:cs="仿宋"/>
          <w:sz w:val="28"/>
          <w:szCs w:val="28"/>
        </w:rPr>
      </w:pPr>
      <w:bookmarkStart w:id="148" w:name="bookmark0"/>
      <w:bookmarkStart w:id="149" w:name="bookmark2"/>
      <w:bookmarkStart w:id="150" w:name="_Toc9055"/>
      <w:bookmarkStart w:id="151" w:name="bookmark1"/>
      <w:r>
        <w:rPr>
          <w:rFonts w:hint="eastAsia" w:ascii="仿宋" w:hAnsi="仿宋" w:eastAsia="仿宋" w:cs="仿宋"/>
          <w:b/>
          <w:bCs/>
          <w:spacing w:val="0"/>
          <w:w w:val="100"/>
          <w:position w:val="0"/>
          <w:sz w:val="28"/>
          <w:szCs w:val="28"/>
          <w:lang w:val="en-US" w:eastAsia="zh-CN"/>
        </w:rPr>
        <w:t>二、</w:t>
      </w:r>
      <w:r>
        <w:rPr>
          <w:rFonts w:hint="eastAsia" w:ascii="仿宋" w:hAnsi="仿宋" w:eastAsia="仿宋" w:cs="仿宋"/>
          <w:b/>
          <w:bCs/>
          <w:spacing w:val="0"/>
          <w:w w:val="100"/>
          <w:position w:val="0"/>
          <w:sz w:val="28"/>
          <w:szCs w:val="28"/>
        </w:rPr>
        <w:t>电动自行车充电桩技术要求</w:t>
      </w:r>
      <w:bookmarkEnd w:id="148"/>
      <w:bookmarkEnd w:id="149"/>
      <w:bookmarkEnd w:id="150"/>
      <w:bookmarkEnd w:id="151"/>
      <w:bookmarkStart w:id="215" w:name="_GoBack"/>
      <w:bookmarkEnd w:id="215"/>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0" w:firstLineChars="0"/>
        <w:jc w:val="left"/>
        <w:rPr>
          <w:rFonts w:hint="eastAsia" w:ascii="仿宋" w:hAnsi="仿宋" w:eastAsia="仿宋" w:cs="仿宋"/>
          <w:b/>
          <w:bCs/>
          <w:sz w:val="21"/>
          <w:szCs w:val="21"/>
        </w:rPr>
      </w:pPr>
      <w:bookmarkStart w:id="152" w:name="bookmark3"/>
      <w:bookmarkEnd w:id="152"/>
      <w:r>
        <w:rPr>
          <w:rFonts w:hint="eastAsia" w:ascii="仿宋" w:hAnsi="仿宋" w:eastAsia="仿宋" w:cs="仿宋"/>
          <w:b/>
          <w:bCs/>
          <w:i w:val="0"/>
          <w:iCs w:val="0"/>
          <w:smallCaps w:val="0"/>
          <w:strike w:val="0"/>
          <w:color w:val="202020"/>
          <w:spacing w:val="0"/>
          <w:w w:val="100"/>
          <w:kern w:val="2"/>
          <w:position w:val="0"/>
          <w:sz w:val="21"/>
          <w:szCs w:val="21"/>
          <w:u w:val="none"/>
          <w:shd w:val="clear" w:color="auto" w:fill="auto"/>
          <w:lang w:val="en-US" w:eastAsia="en-US" w:bidi="en-US"/>
        </w:rPr>
        <w:t>1.</w:t>
      </w:r>
      <w:r>
        <w:rPr>
          <w:rFonts w:hint="eastAsia" w:ascii="仿宋" w:hAnsi="仿宋" w:eastAsia="仿宋" w:cs="仿宋"/>
          <w:b/>
          <w:bCs/>
          <w:color w:val="202020"/>
          <w:spacing w:val="0"/>
          <w:w w:val="100"/>
          <w:position w:val="0"/>
          <w:sz w:val="21"/>
          <w:szCs w:val="21"/>
        </w:rPr>
        <w:t>产品要求</w:t>
      </w:r>
    </w:p>
    <w:p>
      <w:pPr>
        <w:pStyle w:val="16"/>
        <w:keepNext w:val="0"/>
        <w:keepLines w:val="0"/>
        <w:widowControl w:val="0"/>
        <w:numPr>
          <w:ilvl w:val="0"/>
          <w:numId w:val="0"/>
        </w:numPr>
        <w:shd w:val="clear" w:color="auto" w:fill="auto"/>
        <w:tabs>
          <w:tab w:val="left" w:pos="344"/>
        </w:tabs>
        <w:bidi w:val="0"/>
        <w:spacing w:before="0" w:after="0" w:line="413" w:lineRule="exact"/>
        <w:ind w:left="0" w:leftChars="0" w:right="0" w:rightChars="0" w:firstLine="0" w:firstLineChars="0"/>
        <w:jc w:val="left"/>
        <w:rPr>
          <w:rFonts w:hint="eastAsia" w:ascii="仿宋" w:hAnsi="仿宋" w:eastAsia="仿宋" w:cs="仿宋"/>
          <w:b/>
          <w:bCs/>
          <w:sz w:val="21"/>
          <w:szCs w:val="21"/>
        </w:rPr>
      </w:pPr>
      <w:bookmarkStart w:id="153" w:name="bookmark4"/>
      <w:bookmarkEnd w:id="153"/>
      <w:r>
        <w:rPr>
          <w:rFonts w:hint="eastAsia" w:ascii="仿宋" w:hAnsi="仿宋" w:eastAsia="仿宋" w:cs="仿宋"/>
          <w:b/>
          <w:bCs/>
          <w:i w:val="0"/>
          <w:iCs w:val="0"/>
          <w:smallCaps w:val="0"/>
          <w:strike w:val="0"/>
          <w:color w:val="202020"/>
          <w:spacing w:val="0"/>
          <w:w w:val="100"/>
          <w:kern w:val="2"/>
          <w:position w:val="0"/>
          <w:sz w:val="21"/>
          <w:szCs w:val="21"/>
          <w:u w:val="none"/>
          <w:shd w:val="clear" w:color="auto" w:fill="auto"/>
          <w:lang w:val="en-US" w:eastAsia="en-US" w:bidi="en-US"/>
        </w:rPr>
        <w:t>2.</w:t>
      </w:r>
      <w:r>
        <w:rPr>
          <w:rFonts w:hint="eastAsia" w:ascii="仿宋" w:hAnsi="仿宋" w:eastAsia="仿宋" w:cs="仿宋"/>
          <w:b/>
          <w:bCs/>
          <w:color w:val="202020"/>
          <w:spacing w:val="0"/>
          <w:w w:val="100"/>
          <w:position w:val="0"/>
          <w:sz w:val="21"/>
          <w:szCs w:val="21"/>
        </w:rPr>
        <w:t>技术要求</w:t>
      </w:r>
    </w:p>
    <w:p>
      <w:pPr>
        <w:pStyle w:val="16"/>
        <w:keepNext w:val="0"/>
        <w:keepLines w:val="0"/>
        <w:widowControl w:val="0"/>
        <w:numPr>
          <w:ilvl w:val="0"/>
          <w:numId w:val="0"/>
        </w:numPr>
        <w:shd w:val="clear" w:color="auto" w:fill="auto"/>
        <w:tabs>
          <w:tab w:val="left" w:pos="344"/>
        </w:tabs>
        <w:bidi w:val="0"/>
        <w:spacing w:before="0" w:after="0" w:line="413" w:lineRule="exact"/>
        <w:ind w:left="0" w:leftChars="0" w:right="0" w:rightChars="0" w:firstLine="0" w:firstLineChars="0"/>
        <w:jc w:val="left"/>
        <w:rPr>
          <w:rFonts w:hint="eastAsia" w:ascii="仿宋" w:hAnsi="仿宋" w:eastAsia="仿宋" w:cs="仿宋"/>
          <w:b/>
          <w:bCs/>
          <w:sz w:val="21"/>
          <w:szCs w:val="21"/>
        </w:rPr>
      </w:pPr>
      <w:bookmarkStart w:id="154" w:name="bookmark5"/>
      <w:bookmarkEnd w:id="154"/>
      <w:r>
        <w:rPr>
          <w:rFonts w:hint="eastAsia" w:ascii="仿宋" w:hAnsi="仿宋" w:eastAsia="仿宋" w:cs="仿宋"/>
          <w:b/>
          <w:bCs/>
          <w:i w:val="0"/>
          <w:iCs w:val="0"/>
          <w:smallCaps w:val="0"/>
          <w:strike w:val="0"/>
          <w:color w:val="202020"/>
          <w:spacing w:val="0"/>
          <w:w w:val="100"/>
          <w:kern w:val="2"/>
          <w:position w:val="0"/>
          <w:sz w:val="21"/>
          <w:szCs w:val="21"/>
          <w:u w:val="none"/>
          <w:shd w:val="clear" w:color="auto" w:fill="auto"/>
          <w:lang w:val="en-US" w:eastAsia="en-US" w:bidi="en-US"/>
        </w:rPr>
        <w:t>3.</w:t>
      </w:r>
      <w:r>
        <w:rPr>
          <w:rFonts w:hint="eastAsia" w:ascii="仿宋" w:hAnsi="仿宋" w:eastAsia="仿宋" w:cs="仿宋"/>
          <w:b/>
          <w:bCs/>
          <w:color w:val="202020"/>
          <w:spacing w:val="0"/>
          <w:w w:val="100"/>
          <w:position w:val="0"/>
          <w:sz w:val="21"/>
          <w:szCs w:val="21"/>
        </w:rPr>
        <w:t>功能要求</w:t>
      </w:r>
    </w:p>
    <w:p>
      <w:pPr>
        <w:pStyle w:val="16"/>
        <w:keepNext w:val="0"/>
        <w:keepLines w:val="0"/>
        <w:widowControl w:val="0"/>
        <w:numPr>
          <w:ilvl w:val="0"/>
          <w:numId w:val="0"/>
        </w:numPr>
        <w:shd w:val="clear" w:color="auto" w:fill="auto"/>
        <w:tabs>
          <w:tab w:val="left" w:pos="344"/>
        </w:tabs>
        <w:bidi w:val="0"/>
        <w:spacing w:before="0" w:after="0" w:line="413" w:lineRule="exact"/>
        <w:ind w:left="0" w:leftChars="0" w:right="0" w:rightChars="0" w:firstLine="0" w:firstLineChars="0"/>
        <w:jc w:val="left"/>
        <w:rPr>
          <w:rFonts w:hint="eastAsia" w:ascii="仿宋" w:hAnsi="仿宋" w:eastAsia="仿宋" w:cs="仿宋"/>
          <w:b/>
          <w:bCs/>
          <w:sz w:val="21"/>
          <w:szCs w:val="21"/>
        </w:rPr>
      </w:pPr>
      <w:bookmarkStart w:id="155" w:name="bookmark6"/>
      <w:bookmarkEnd w:id="155"/>
      <w:r>
        <w:rPr>
          <w:rFonts w:hint="eastAsia" w:ascii="仿宋" w:hAnsi="仿宋" w:eastAsia="仿宋" w:cs="仿宋"/>
          <w:b/>
          <w:bCs/>
          <w:i w:val="0"/>
          <w:iCs w:val="0"/>
          <w:smallCaps w:val="0"/>
          <w:strike w:val="0"/>
          <w:color w:val="202020"/>
          <w:spacing w:val="0"/>
          <w:w w:val="100"/>
          <w:kern w:val="2"/>
          <w:position w:val="0"/>
          <w:sz w:val="21"/>
          <w:szCs w:val="21"/>
          <w:u w:val="none"/>
          <w:shd w:val="clear" w:color="auto" w:fill="auto"/>
          <w:lang w:val="en-US" w:eastAsia="en-US" w:bidi="en-US"/>
        </w:rPr>
        <w:t>4.</w:t>
      </w:r>
      <w:r>
        <w:rPr>
          <w:rFonts w:hint="eastAsia" w:ascii="仿宋" w:hAnsi="仿宋" w:eastAsia="仿宋" w:cs="仿宋"/>
          <w:b/>
          <w:bCs/>
          <w:color w:val="202020"/>
          <w:spacing w:val="0"/>
          <w:w w:val="100"/>
          <w:position w:val="0"/>
          <w:sz w:val="21"/>
          <w:szCs w:val="21"/>
        </w:rPr>
        <w:t>性能要求</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0" w:firstLineChars="0"/>
        <w:jc w:val="both"/>
        <w:rPr>
          <w:rFonts w:hint="eastAsia" w:ascii="仿宋" w:hAnsi="仿宋" w:eastAsia="仿宋" w:cs="仿宋"/>
          <w:b/>
          <w:bCs/>
          <w:color w:val="202020"/>
          <w:spacing w:val="0"/>
          <w:w w:val="100"/>
          <w:position w:val="0"/>
          <w:sz w:val="21"/>
          <w:szCs w:val="21"/>
        </w:rPr>
      </w:pPr>
      <w:bookmarkStart w:id="156" w:name="bookmark7"/>
      <w:bookmarkEnd w:id="156"/>
      <w:r>
        <w:rPr>
          <w:rFonts w:hint="eastAsia" w:ascii="仿宋" w:hAnsi="仿宋" w:eastAsia="仿宋" w:cs="仿宋"/>
          <w:b/>
          <w:bCs/>
          <w:color w:val="202020"/>
          <w:spacing w:val="0"/>
          <w:w w:val="100"/>
          <w:position w:val="0"/>
          <w:sz w:val="21"/>
          <w:szCs w:val="21"/>
          <w:lang w:val="en-US" w:eastAsia="en-US"/>
        </w:rPr>
        <w:t>5.</w:t>
      </w:r>
      <w:r>
        <w:rPr>
          <w:rFonts w:hint="eastAsia" w:ascii="仿宋" w:hAnsi="仿宋" w:eastAsia="仿宋" w:cs="仿宋"/>
          <w:b/>
          <w:bCs/>
          <w:color w:val="202020"/>
          <w:spacing w:val="0"/>
          <w:w w:val="100"/>
          <w:position w:val="0"/>
          <w:sz w:val="21"/>
          <w:szCs w:val="21"/>
        </w:rPr>
        <w:t>安全要求</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0" w:firstLineChars="0"/>
        <w:jc w:val="both"/>
        <w:rPr>
          <w:rFonts w:hint="eastAsia" w:ascii="仿宋" w:hAnsi="仿宋" w:eastAsia="仿宋" w:cs="仿宋"/>
          <w:b/>
          <w:bCs/>
          <w:color w:val="202020"/>
          <w:spacing w:val="0"/>
          <w:w w:val="100"/>
          <w:position w:val="0"/>
          <w:sz w:val="21"/>
          <w:szCs w:val="21"/>
        </w:rPr>
      </w:pPr>
      <w:bookmarkStart w:id="157" w:name="bookmark8"/>
      <w:bookmarkEnd w:id="157"/>
      <w:r>
        <w:rPr>
          <w:rFonts w:hint="eastAsia" w:ascii="仿宋" w:hAnsi="仿宋" w:eastAsia="仿宋" w:cs="仿宋"/>
          <w:b/>
          <w:bCs/>
          <w:color w:val="202020"/>
          <w:spacing w:val="0"/>
          <w:w w:val="100"/>
          <w:position w:val="0"/>
          <w:sz w:val="21"/>
          <w:szCs w:val="21"/>
          <w:lang w:val="en-US" w:eastAsia="en-US"/>
        </w:rPr>
        <w:t>6.</w:t>
      </w:r>
      <w:r>
        <w:rPr>
          <w:rFonts w:hint="eastAsia" w:ascii="仿宋" w:hAnsi="仿宋" w:eastAsia="仿宋" w:cs="仿宋"/>
          <w:b/>
          <w:bCs/>
          <w:color w:val="202020"/>
          <w:spacing w:val="0"/>
          <w:w w:val="100"/>
          <w:position w:val="0"/>
          <w:sz w:val="21"/>
          <w:szCs w:val="21"/>
        </w:rPr>
        <w:t>管理平台与通信协议</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0" w:firstLineChars="0"/>
        <w:jc w:val="both"/>
        <w:rPr>
          <w:rFonts w:hint="eastAsia" w:ascii="仿宋" w:hAnsi="仿宋" w:eastAsia="仿宋" w:cs="仿宋"/>
          <w:b/>
          <w:bCs/>
          <w:color w:val="202020"/>
          <w:spacing w:val="0"/>
          <w:w w:val="100"/>
          <w:position w:val="0"/>
          <w:sz w:val="21"/>
          <w:szCs w:val="21"/>
        </w:rPr>
      </w:pPr>
      <w:bookmarkStart w:id="158" w:name="bookmark9"/>
      <w:bookmarkEnd w:id="158"/>
      <w:r>
        <w:rPr>
          <w:rFonts w:hint="eastAsia" w:ascii="仿宋" w:hAnsi="仿宋" w:eastAsia="仿宋" w:cs="仿宋"/>
          <w:b/>
          <w:bCs/>
          <w:color w:val="202020"/>
          <w:spacing w:val="0"/>
          <w:w w:val="100"/>
          <w:position w:val="0"/>
          <w:sz w:val="21"/>
          <w:szCs w:val="21"/>
          <w:lang w:val="en-US" w:eastAsia="en-US"/>
        </w:rPr>
        <w:t>7.</w:t>
      </w:r>
      <w:r>
        <w:rPr>
          <w:rFonts w:hint="eastAsia" w:ascii="仿宋" w:hAnsi="仿宋" w:eastAsia="仿宋" w:cs="仿宋"/>
          <w:b/>
          <w:bCs/>
          <w:color w:val="202020"/>
          <w:spacing w:val="0"/>
          <w:w w:val="100"/>
          <w:position w:val="0"/>
          <w:sz w:val="21"/>
          <w:szCs w:val="21"/>
        </w:rPr>
        <w:t>标志</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420" w:firstLineChars="200"/>
        <w:jc w:val="both"/>
        <w:rPr>
          <w:rFonts w:hint="eastAsia" w:ascii="仿宋" w:hAnsi="仿宋" w:eastAsia="仿宋" w:cs="仿宋"/>
          <w:color w:val="202020"/>
          <w:spacing w:val="0"/>
          <w:w w:val="100"/>
          <w:position w:val="0"/>
          <w:sz w:val="21"/>
          <w:szCs w:val="21"/>
        </w:rPr>
      </w:pPr>
      <w:bookmarkStart w:id="159" w:name="bookmark10"/>
      <w:bookmarkEnd w:id="159"/>
      <w:r>
        <w:rPr>
          <w:rFonts w:hint="eastAsia" w:ascii="仿宋" w:hAnsi="仿宋" w:eastAsia="仿宋" w:cs="仿宋"/>
          <w:color w:val="202020"/>
          <w:spacing w:val="0"/>
          <w:w w:val="100"/>
          <w:position w:val="0"/>
          <w:sz w:val="21"/>
          <w:szCs w:val="21"/>
          <w:lang w:val="zh-TW" w:eastAsia="zh-TW"/>
        </w:rPr>
        <w:t>1.</w:t>
      </w:r>
      <w:r>
        <w:rPr>
          <w:rFonts w:hint="eastAsia" w:ascii="仿宋" w:hAnsi="仿宋" w:eastAsia="仿宋" w:cs="仿宋"/>
          <w:color w:val="202020"/>
          <w:spacing w:val="0"/>
          <w:w w:val="100"/>
          <w:position w:val="0"/>
          <w:sz w:val="21"/>
          <w:szCs w:val="21"/>
        </w:rPr>
        <w:t>产品要求</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202020"/>
          <w:spacing w:val="0"/>
          <w:w w:val="100"/>
          <w:position w:val="0"/>
          <w:sz w:val="21"/>
          <w:szCs w:val="21"/>
        </w:rPr>
        <w:t>电动自行车充电桩：可对铅酸蓄或锂离子电池为动力电动自行车进行充电，适用蓄电池标称电压为24 V、36 V、48</w:t>
      </w:r>
      <w:r>
        <w:rPr>
          <w:rFonts w:hint="eastAsia" w:ascii="仿宋" w:hAnsi="仿宋" w:eastAsia="仿宋" w:cs="仿宋"/>
          <w:color w:val="202020"/>
          <w:spacing w:val="0"/>
          <w:w w:val="100"/>
          <w:position w:val="0"/>
          <w:sz w:val="21"/>
          <w:szCs w:val="21"/>
          <w:lang w:val="en-US" w:eastAsia="en-US" w:bidi="en-US"/>
        </w:rPr>
        <w:t xml:space="preserve">V. </w:t>
      </w:r>
      <w:r>
        <w:rPr>
          <w:rFonts w:hint="eastAsia" w:ascii="仿宋" w:hAnsi="仿宋" w:eastAsia="仿宋" w:cs="仿宋"/>
          <w:color w:val="202020"/>
          <w:spacing w:val="0"/>
          <w:w w:val="100"/>
          <w:position w:val="0"/>
          <w:sz w:val="21"/>
          <w:szCs w:val="21"/>
        </w:rPr>
        <w:t>60 V、72 V等。</w:t>
      </w:r>
    </w:p>
    <w:p>
      <w:pPr>
        <w:pStyle w:val="16"/>
        <w:keepNext w:val="0"/>
        <w:keepLines w:val="0"/>
        <w:widowControl w:val="0"/>
        <w:numPr>
          <w:ilvl w:val="0"/>
          <w:numId w:val="0"/>
        </w:numPr>
        <w:shd w:val="clear" w:color="auto" w:fill="auto"/>
        <w:tabs>
          <w:tab w:val="left" w:pos="34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0" w:name="bookmark11"/>
      <w:bookmarkEnd w:id="160"/>
      <w:r>
        <w:rPr>
          <w:rFonts w:hint="eastAsia" w:ascii="仿宋" w:hAnsi="仿宋" w:eastAsia="仿宋" w:cs="仿宋"/>
          <w:b w:val="0"/>
          <w:bCs w:val="0"/>
          <w:i w:val="0"/>
          <w:iCs w:val="0"/>
          <w:smallCaps w:val="0"/>
          <w:strike w:val="0"/>
          <w:color w:val="202020"/>
          <w:spacing w:val="0"/>
          <w:w w:val="100"/>
          <w:kern w:val="2"/>
          <w:position w:val="0"/>
          <w:sz w:val="21"/>
          <w:szCs w:val="21"/>
          <w:u w:val="none"/>
          <w:shd w:val="clear" w:color="auto" w:fill="auto"/>
          <w:lang w:val="zh-TW" w:eastAsia="zh-TW" w:bidi="zh-TW"/>
        </w:rPr>
        <w:t>2.</w:t>
      </w:r>
      <w:r>
        <w:rPr>
          <w:rFonts w:hint="eastAsia" w:ascii="仿宋" w:hAnsi="仿宋" w:eastAsia="仿宋" w:cs="仿宋"/>
          <w:color w:val="202020"/>
          <w:spacing w:val="0"/>
          <w:w w:val="100"/>
          <w:position w:val="0"/>
          <w:sz w:val="21"/>
          <w:szCs w:val="21"/>
        </w:rPr>
        <w:t>技术要求</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1" w:name="bookmark12"/>
      <w:bookmarkEnd w:id="161"/>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2.</w:t>
      </w:r>
      <w:r>
        <w:rPr>
          <w:rFonts w:hint="eastAsia" w:ascii="仿宋" w:hAnsi="仿宋" w:eastAsia="仿宋" w:cs="仿宋"/>
          <w:color w:val="000000"/>
          <w:spacing w:val="0"/>
          <w:w w:val="100"/>
          <w:position w:val="0"/>
          <w:sz w:val="21"/>
          <w:szCs w:val="21"/>
        </w:rPr>
        <w:t>1</w:t>
      </w:r>
      <w:r>
        <w:rPr>
          <w:rFonts w:hint="eastAsia" w:ascii="仿宋" w:hAnsi="仿宋" w:eastAsia="仿宋" w:cs="仿宋"/>
          <w:color w:val="202020"/>
          <w:spacing w:val="0"/>
          <w:w w:val="100"/>
          <w:position w:val="0"/>
          <w:sz w:val="21"/>
          <w:szCs w:val="21"/>
        </w:rPr>
        <w:t>外观、结构</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2" w:name="bookmark13"/>
      <w:bookmarkEnd w:id="162"/>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2.</w:t>
      </w:r>
      <w:r>
        <w:rPr>
          <w:rFonts w:hint="eastAsia" w:ascii="仿宋" w:hAnsi="仿宋" w:eastAsia="仿宋" w:cs="仿宋"/>
          <w:color w:val="202020"/>
          <w:spacing w:val="0"/>
          <w:w w:val="100"/>
          <w:position w:val="0"/>
          <w:sz w:val="21"/>
          <w:szCs w:val="21"/>
          <w:lang w:val="en-US" w:eastAsia="en-US" w:bidi="en-US"/>
        </w:rPr>
        <w:t>1.</w:t>
      </w:r>
      <w:r>
        <w:rPr>
          <w:rFonts w:hint="eastAsia" w:ascii="仿宋" w:hAnsi="仿宋" w:eastAsia="仿宋" w:cs="仿宋"/>
          <w:color w:val="202020"/>
          <w:spacing w:val="0"/>
          <w:w w:val="100"/>
          <w:position w:val="0"/>
          <w:sz w:val="21"/>
          <w:szCs w:val="21"/>
        </w:rPr>
        <w:t>1外观</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3" w:name="bookmark14"/>
      <w:bookmarkEnd w:id="163"/>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2.</w:t>
      </w:r>
      <w:r>
        <w:rPr>
          <w:rFonts w:hint="eastAsia" w:ascii="仿宋" w:hAnsi="仿宋" w:eastAsia="仿宋" w:cs="仿宋"/>
          <w:color w:val="202020"/>
          <w:spacing w:val="0"/>
          <w:w w:val="100"/>
          <w:position w:val="0"/>
          <w:sz w:val="21"/>
          <w:szCs w:val="21"/>
          <w:lang w:val="en-US" w:eastAsia="en-US" w:bidi="en-US"/>
        </w:rPr>
        <w:t>1.1.</w:t>
      </w:r>
      <w:r>
        <w:rPr>
          <w:rFonts w:hint="eastAsia" w:ascii="仿宋" w:hAnsi="仿宋" w:eastAsia="仿宋" w:cs="仿宋"/>
          <w:color w:val="202020"/>
          <w:spacing w:val="0"/>
          <w:w w:val="100"/>
          <w:position w:val="0"/>
          <w:sz w:val="21"/>
          <w:szCs w:val="21"/>
        </w:rPr>
        <w:t>1充电桩桩体应采用封闭结构，表面涂覆层应色泽均匀光洁、不起泡、不龟裂、不脱落、易清洁，不应 明显的破损、划痕、变形和污染等。</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4" w:name="bookmark15"/>
      <w:bookmarkEnd w:id="164"/>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2.</w:t>
      </w:r>
      <w:r>
        <w:rPr>
          <w:rFonts w:hint="eastAsia" w:ascii="仿宋" w:hAnsi="仿宋" w:eastAsia="仿宋" w:cs="仿宋"/>
          <w:color w:val="202020"/>
          <w:spacing w:val="0"/>
          <w:w w:val="100"/>
          <w:position w:val="0"/>
          <w:sz w:val="21"/>
          <w:szCs w:val="21"/>
          <w:lang w:val="en-US" w:eastAsia="en-US" w:bidi="en-US"/>
        </w:rPr>
        <w:t>1.1.</w:t>
      </w:r>
      <w:r>
        <w:rPr>
          <w:rFonts w:hint="eastAsia" w:ascii="仿宋" w:hAnsi="仿宋" w:eastAsia="仿宋" w:cs="仿宋"/>
          <w:color w:val="202020"/>
          <w:spacing w:val="0"/>
          <w:w w:val="100"/>
          <w:position w:val="0"/>
          <w:sz w:val="21"/>
          <w:szCs w:val="21"/>
        </w:rPr>
        <w:t>2标识和文字说明应易见、清晰、端正。</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5" w:name="bookmark16"/>
      <w:bookmarkEnd w:id="165"/>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2.</w:t>
      </w:r>
      <w:r>
        <w:rPr>
          <w:rFonts w:hint="eastAsia" w:ascii="仿宋" w:hAnsi="仿宋" w:eastAsia="仿宋" w:cs="仿宋"/>
          <w:color w:val="000000"/>
          <w:spacing w:val="0"/>
          <w:w w:val="100"/>
          <w:position w:val="0"/>
          <w:sz w:val="21"/>
          <w:szCs w:val="21"/>
          <w:lang w:val="en-US" w:eastAsia="en-US" w:bidi="en-US"/>
        </w:rPr>
        <w:t>1.</w:t>
      </w:r>
      <w:r>
        <w:rPr>
          <w:rFonts w:hint="eastAsia" w:ascii="仿宋" w:hAnsi="仿宋" w:eastAsia="仿宋" w:cs="仿宋"/>
          <w:color w:val="202020"/>
          <w:spacing w:val="0"/>
          <w:w w:val="100"/>
          <w:position w:val="0"/>
          <w:sz w:val="21"/>
          <w:szCs w:val="21"/>
          <w:lang w:val="en-US" w:eastAsia="en-US" w:bidi="en-US"/>
        </w:rPr>
        <w:t>1.3</w:t>
      </w:r>
      <w:r>
        <w:rPr>
          <w:rFonts w:hint="eastAsia" w:ascii="仿宋" w:hAnsi="仿宋" w:eastAsia="仿宋" w:cs="仿宋"/>
          <w:color w:val="202020"/>
          <w:spacing w:val="0"/>
          <w:w w:val="100"/>
          <w:position w:val="0"/>
          <w:sz w:val="21"/>
          <w:szCs w:val="21"/>
        </w:rPr>
        <w:t>应有明显安全警示标识。</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6" w:name="bookmark17"/>
      <w:bookmarkEnd w:id="166"/>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2.</w:t>
      </w:r>
      <w:r>
        <w:rPr>
          <w:rFonts w:hint="eastAsia" w:ascii="仿宋" w:hAnsi="仿宋" w:eastAsia="仿宋" w:cs="仿宋"/>
          <w:color w:val="202020"/>
          <w:spacing w:val="0"/>
          <w:w w:val="100"/>
          <w:position w:val="0"/>
          <w:sz w:val="21"/>
          <w:szCs w:val="21"/>
        </w:rPr>
        <w:t>2结构</w:t>
      </w:r>
    </w:p>
    <w:p>
      <w:pPr>
        <w:pStyle w:val="16"/>
        <w:keepNext w:val="0"/>
        <w:keepLines w:val="0"/>
        <w:widowControl w:val="0"/>
        <w:numPr>
          <w:ilvl w:val="1"/>
          <w:numId w:val="0"/>
        </w:numPr>
        <w:shd w:val="clear" w:color="auto" w:fill="auto"/>
        <w:tabs>
          <w:tab w:val="left" w:pos="550"/>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7" w:name="bookmark18"/>
      <w:bookmarkEnd w:id="167"/>
      <w:r>
        <w:rPr>
          <w:rFonts w:hint="eastAsia" w:ascii="仿宋" w:hAnsi="仿宋" w:eastAsia="仿宋" w:cs="仿宋"/>
          <w:b w:val="0"/>
          <w:bCs w:val="0"/>
          <w:i w:val="0"/>
          <w:iCs w:val="0"/>
          <w:smallCaps w:val="0"/>
          <w:strike w:val="0"/>
          <w:color w:val="202020"/>
          <w:spacing w:val="0"/>
          <w:w w:val="100"/>
          <w:kern w:val="2"/>
          <w:position w:val="0"/>
          <w:sz w:val="21"/>
          <w:szCs w:val="21"/>
          <w:u w:val="none"/>
          <w:shd w:val="clear" w:color="auto" w:fill="auto"/>
          <w:lang w:val="en-US" w:eastAsia="en-US" w:bidi="en-US"/>
        </w:rPr>
        <w:t>2.2.</w:t>
      </w:r>
      <w:r>
        <w:rPr>
          <w:rFonts w:hint="eastAsia" w:ascii="仿宋" w:hAnsi="仿宋" w:eastAsia="仿宋" w:cs="仿宋"/>
          <w:color w:val="202020"/>
          <w:spacing w:val="0"/>
          <w:w w:val="100"/>
          <w:position w:val="0"/>
          <w:sz w:val="21"/>
          <w:szCs w:val="21"/>
        </w:rPr>
        <w:t>1零部件连接应紧固无松动，开关、按键应操作灵活可靠。</w:t>
      </w:r>
    </w:p>
    <w:p>
      <w:pPr>
        <w:pStyle w:val="16"/>
        <w:keepNext w:val="0"/>
        <w:keepLines w:val="0"/>
        <w:widowControl w:val="0"/>
        <w:numPr>
          <w:ilvl w:val="0"/>
          <w:numId w:val="0"/>
        </w:numPr>
        <w:shd w:val="clear" w:color="auto" w:fill="auto"/>
        <w:tabs>
          <w:tab w:val="left" w:pos="339"/>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68" w:name="bookmark19"/>
      <w:bookmarkEnd w:id="168"/>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2.</w:t>
      </w:r>
      <w:r>
        <w:rPr>
          <w:rFonts w:hint="eastAsia" w:ascii="仿宋" w:hAnsi="仿宋" w:eastAsia="仿宋" w:cs="仿宋"/>
          <w:color w:val="202020"/>
          <w:spacing w:val="0"/>
          <w:w w:val="100"/>
          <w:position w:val="0"/>
          <w:sz w:val="21"/>
          <w:szCs w:val="21"/>
        </w:rPr>
        <w:t>3输出线</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color w:val="202020"/>
          <w:spacing w:val="0"/>
          <w:w w:val="100"/>
          <w:position w:val="0"/>
          <w:sz w:val="21"/>
          <w:szCs w:val="21"/>
        </w:rPr>
      </w:pPr>
      <w:bookmarkStart w:id="169" w:name="bookmark20"/>
      <w:bookmarkEnd w:id="169"/>
      <w:r>
        <w:rPr>
          <w:rFonts w:hint="eastAsia" w:ascii="仿宋" w:hAnsi="仿宋" w:eastAsia="仿宋" w:cs="仿宋"/>
          <w:color w:val="202020"/>
          <w:spacing w:val="0"/>
          <w:w w:val="100"/>
          <w:position w:val="0"/>
          <w:sz w:val="21"/>
          <w:szCs w:val="21"/>
          <w:lang w:val="en-US" w:eastAsia="en-US"/>
        </w:rPr>
        <w:t>2.3.</w:t>
      </w:r>
      <w:r>
        <w:rPr>
          <w:rFonts w:hint="eastAsia" w:ascii="仿宋" w:hAnsi="仿宋" w:eastAsia="仿宋" w:cs="仿宋"/>
          <w:color w:val="202020"/>
          <w:spacing w:val="0"/>
          <w:w w:val="100"/>
          <w:position w:val="0"/>
          <w:sz w:val="21"/>
          <w:szCs w:val="21"/>
        </w:rPr>
        <w:t>1输岀线的横截面积应符合</w:t>
      </w:r>
      <w:r>
        <w:rPr>
          <w:rFonts w:hint="eastAsia" w:ascii="仿宋" w:hAnsi="仿宋" w:eastAsia="仿宋" w:cs="仿宋"/>
          <w:color w:val="202020"/>
          <w:spacing w:val="0"/>
          <w:w w:val="100"/>
          <w:position w:val="0"/>
          <w:sz w:val="21"/>
          <w:szCs w:val="21"/>
          <w:lang w:val="en-US" w:eastAsia="en-US"/>
        </w:rPr>
        <w:t>GB 4706. 1—2005</w:t>
      </w:r>
      <w:r>
        <w:rPr>
          <w:rFonts w:hint="eastAsia" w:ascii="仿宋" w:hAnsi="仿宋" w:eastAsia="仿宋" w:cs="仿宋"/>
          <w:color w:val="202020"/>
          <w:spacing w:val="0"/>
          <w:w w:val="100"/>
          <w:position w:val="0"/>
          <w:sz w:val="21"/>
          <w:szCs w:val="21"/>
        </w:rPr>
        <w:t>中表11规定。</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color w:val="202020"/>
          <w:spacing w:val="0"/>
          <w:w w:val="100"/>
          <w:position w:val="0"/>
          <w:sz w:val="21"/>
          <w:szCs w:val="21"/>
        </w:rPr>
      </w:pPr>
      <w:bookmarkStart w:id="170" w:name="bookmark21"/>
      <w:bookmarkEnd w:id="170"/>
      <w:r>
        <w:rPr>
          <w:rFonts w:hint="eastAsia" w:ascii="仿宋" w:hAnsi="仿宋" w:eastAsia="仿宋" w:cs="仿宋"/>
          <w:color w:val="202020"/>
          <w:spacing w:val="0"/>
          <w:w w:val="100"/>
          <w:position w:val="0"/>
          <w:sz w:val="21"/>
          <w:szCs w:val="21"/>
          <w:lang w:val="en-US" w:eastAsia="en-US"/>
        </w:rPr>
        <w:t>3.</w:t>
      </w:r>
      <w:r>
        <w:rPr>
          <w:rFonts w:hint="eastAsia" w:ascii="仿宋" w:hAnsi="仿宋" w:eastAsia="仿宋" w:cs="仿宋"/>
          <w:color w:val="202020"/>
          <w:spacing w:val="0"/>
          <w:w w:val="100"/>
          <w:position w:val="0"/>
          <w:sz w:val="21"/>
          <w:szCs w:val="21"/>
        </w:rPr>
        <w:t>功能要求</w:t>
      </w:r>
    </w:p>
    <w:p>
      <w:pPr>
        <w:pStyle w:val="16"/>
        <w:keepNext w:val="0"/>
        <w:keepLines w:val="0"/>
        <w:widowControl w:val="0"/>
        <w:numPr>
          <w:ilvl w:val="0"/>
          <w:numId w:val="0"/>
        </w:numPr>
        <w:shd w:val="clear" w:color="auto" w:fill="auto"/>
        <w:tabs>
          <w:tab w:val="left" w:pos="339"/>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71" w:name="bookmark22"/>
      <w:bookmarkEnd w:id="171"/>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3.</w:t>
      </w:r>
      <w:r>
        <w:rPr>
          <w:rFonts w:hint="eastAsia" w:ascii="仿宋" w:hAnsi="仿宋" w:eastAsia="仿宋" w:cs="仿宋"/>
          <w:color w:val="202020"/>
          <w:spacing w:val="0"/>
          <w:w w:val="100"/>
          <w:position w:val="0"/>
          <w:sz w:val="21"/>
          <w:szCs w:val="21"/>
        </w:rPr>
        <w:t>1显示功能</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72" w:name="bookmark23"/>
      <w:bookmarkEnd w:id="172"/>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3.</w:t>
      </w:r>
      <w:r>
        <w:rPr>
          <w:rFonts w:hint="eastAsia" w:ascii="仿宋" w:hAnsi="仿宋" w:eastAsia="仿宋" w:cs="仿宋"/>
          <w:color w:val="202020"/>
          <w:spacing w:val="0"/>
          <w:w w:val="100"/>
          <w:position w:val="0"/>
          <w:sz w:val="21"/>
          <w:szCs w:val="21"/>
          <w:lang w:val="en-US" w:eastAsia="en-US" w:bidi="en-US"/>
        </w:rPr>
        <w:t>1.</w:t>
      </w:r>
      <w:r>
        <w:rPr>
          <w:rFonts w:hint="eastAsia" w:ascii="仿宋" w:hAnsi="仿宋" w:eastAsia="仿宋" w:cs="仿宋"/>
          <w:color w:val="202020"/>
          <w:spacing w:val="0"/>
          <w:w w:val="100"/>
          <w:position w:val="0"/>
          <w:sz w:val="21"/>
          <w:szCs w:val="21"/>
        </w:rPr>
        <w:t>1充电桩应能显示充电状态。</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73" w:name="bookmark24"/>
      <w:bookmarkEnd w:id="173"/>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3.</w:t>
      </w:r>
      <w:r>
        <w:rPr>
          <w:rFonts w:hint="eastAsia" w:ascii="仿宋" w:hAnsi="仿宋" w:eastAsia="仿宋" w:cs="仿宋"/>
          <w:color w:val="202020"/>
          <w:spacing w:val="0"/>
          <w:w w:val="100"/>
          <w:position w:val="0"/>
          <w:sz w:val="21"/>
          <w:szCs w:val="21"/>
        </w:rPr>
        <w:t>2付费功能</w:t>
      </w:r>
    </w:p>
    <w:p>
      <w:pPr>
        <w:pStyle w:val="16"/>
        <w:keepNext w:val="0"/>
        <w:keepLines w:val="0"/>
        <w:widowControl w:val="0"/>
        <w:numPr>
          <w:ilvl w:val="1"/>
          <w:numId w:val="0"/>
        </w:numPr>
        <w:shd w:val="clear" w:color="auto" w:fill="auto"/>
        <w:tabs>
          <w:tab w:val="left" w:pos="541"/>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74" w:name="bookmark25"/>
      <w:bookmarkEnd w:id="174"/>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auto"/>
          <w:lang w:val="en-US" w:eastAsia="en-US" w:bidi="en-US"/>
        </w:rPr>
        <w:t>3.2.</w:t>
      </w:r>
      <w:r>
        <w:rPr>
          <w:rFonts w:hint="eastAsia" w:ascii="仿宋" w:hAnsi="仿宋" w:eastAsia="仿宋" w:cs="仿宋"/>
          <w:color w:val="202020"/>
          <w:spacing w:val="0"/>
          <w:w w:val="100"/>
          <w:position w:val="0"/>
          <w:sz w:val="21"/>
          <w:szCs w:val="21"/>
        </w:rPr>
        <w:t>1充电桩应有刷卡付费或网络支付功能，实现充电费用的支付。</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75" w:name="bookmark26"/>
      <w:bookmarkEnd w:id="175"/>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3.</w:t>
      </w:r>
      <w:r>
        <w:rPr>
          <w:rFonts w:hint="eastAsia" w:ascii="仿宋" w:hAnsi="仿宋" w:eastAsia="仿宋" w:cs="仿宋"/>
          <w:color w:val="202020"/>
          <w:spacing w:val="0"/>
          <w:w w:val="100"/>
          <w:position w:val="0"/>
          <w:sz w:val="21"/>
          <w:szCs w:val="21"/>
        </w:rPr>
        <w:t>3控制功能</w:t>
      </w:r>
    </w:p>
    <w:p>
      <w:pPr>
        <w:pStyle w:val="16"/>
        <w:keepNext w:val="0"/>
        <w:keepLines w:val="0"/>
        <w:widowControl w:val="0"/>
        <w:numPr>
          <w:ilvl w:val="1"/>
          <w:numId w:val="0"/>
        </w:numPr>
        <w:shd w:val="clear" w:color="auto" w:fill="auto"/>
        <w:tabs>
          <w:tab w:val="left" w:pos="541"/>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76" w:name="bookmark27"/>
      <w:bookmarkEnd w:id="176"/>
      <w:r>
        <w:rPr>
          <w:rFonts w:hint="eastAsia" w:ascii="仿宋" w:hAnsi="仿宋" w:eastAsia="仿宋" w:cs="仿宋"/>
          <w:b w:val="0"/>
          <w:bCs w:val="0"/>
          <w:i w:val="0"/>
          <w:iCs w:val="0"/>
          <w:smallCaps w:val="0"/>
          <w:strike w:val="0"/>
          <w:color w:val="202020"/>
          <w:spacing w:val="0"/>
          <w:w w:val="100"/>
          <w:kern w:val="2"/>
          <w:position w:val="0"/>
          <w:sz w:val="21"/>
          <w:szCs w:val="21"/>
          <w:u w:val="none"/>
          <w:shd w:val="clear" w:color="auto" w:fill="auto"/>
          <w:lang w:val="en-US" w:eastAsia="en-US" w:bidi="en-US"/>
        </w:rPr>
        <w:t>3.3.</w:t>
      </w:r>
      <w:r>
        <w:rPr>
          <w:rFonts w:hint="eastAsia" w:ascii="仿宋" w:hAnsi="仿宋" w:eastAsia="仿宋" w:cs="仿宋"/>
          <w:color w:val="000000"/>
          <w:spacing w:val="0"/>
          <w:w w:val="100"/>
          <w:position w:val="0"/>
          <w:sz w:val="21"/>
          <w:szCs w:val="21"/>
        </w:rPr>
        <w:t>1</w:t>
      </w:r>
      <w:r>
        <w:rPr>
          <w:rFonts w:hint="eastAsia" w:ascii="仿宋" w:hAnsi="仿宋" w:eastAsia="仿宋" w:cs="仿宋"/>
          <w:color w:val="202020"/>
          <w:spacing w:val="0"/>
          <w:w w:val="100"/>
          <w:position w:val="0"/>
          <w:sz w:val="21"/>
          <w:szCs w:val="21"/>
        </w:rPr>
        <w:t>充电桩应有定时关断功能，定时精度为±2%。</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77" w:name="bookmark28"/>
      <w:bookmarkEnd w:id="177"/>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3.</w:t>
      </w:r>
      <w:r>
        <w:rPr>
          <w:rFonts w:hint="eastAsia" w:ascii="仿宋" w:hAnsi="仿宋" w:eastAsia="仿宋" w:cs="仿宋"/>
          <w:color w:val="202020"/>
          <w:spacing w:val="0"/>
          <w:w w:val="100"/>
          <w:position w:val="0"/>
          <w:sz w:val="21"/>
          <w:szCs w:val="21"/>
        </w:rPr>
        <w:t>4断电记忆功能</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78" w:name="bookmark29"/>
      <w:bookmarkEnd w:id="178"/>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3.</w:t>
      </w:r>
      <w:r>
        <w:rPr>
          <w:rFonts w:hint="eastAsia" w:ascii="仿宋" w:hAnsi="仿宋" w:eastAsia="仿宋" w:cs="仿宋"/>
          <w:i w:val="0"/>
          <w:iCs w:val="0"/>
          <w:color w:val="202020"/>
          <w:spacing w:val="0"/>
          <w:w w:val="100"/>
          <w:position w:val="0"/>
          <w:sz w:val="21"/>
          <w:szCs w:val="21"/>
          <w:lang w:val="en-US" w:eastAsia="en-US" w:bidi="en-US"/>
        </w:rPr>
        <w:t>4.</w:t>
      </w:r>
      <w:r>
        <w:rPr>
          <w:rFonts w:hint="eastAsia" w:ascii="仿宋" w:hAnsi="仿宋" w:eastAsia="仿宋" w:cs="仿宋"/>
          <w:i w:val="0"/>
          <w:iCs w:val="0"/>
          <w:color w:val="000000"/>
          <w:spacing w:val="0"/>
          <w:w w:val="100"/>
          <w:position w:val="0"/>
          <w:sz w:val="21"/>
          <w:szCs w:val="21"/>
        </w:rPr>
        <w:t>1</w:t>
      </w:r>
      <w:r>
        <w:rPr>
          <w:rFonts w:hint="eastAsia" w:ascii="仿宋" w:hAnsi="仿宋" w:eastAsia="仿宋" w:cs="仿宋"/>
          <w:color w:val="202020"/>
          <w:spacing w:val="0"/>
          <w:w w:val="100"/>
          <w:position w:val="0"/>
          <w:sz w:val="21"/>
          <w:szCs w:val="21"/>
        </w:rPr>
        <w:t>充电桩正在正常充电时，若停电后再来电，应能自动恢复断电前的充电状态。</w:t>
      </w:r>
      <w:bookmarkStart w:id="179" w:name="bookmark30"/>
      <w:bookmarkEnd w:id="179"/>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420" w:firstLineChars="200"/>
        <w:jc w:val="left"/>
        <w:rPr>
          <w:rFonts w:hint="eastAsia" w:ascii="仿宋" w:hAnsi="仿宋" w:eastAsia="仿宋" w:cs="仿宋"/>
          <w:sz w:val="21"/>
          <w:szCs w:val="21"/>
        </w:rPr>
      </w:pPr>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4.</w:t>
      </w:r>
      <w:r>
        <w:rPr>
          <w:rFonts w:hint="eastAsia" w:ascii="仿宋" w:hAnsi="仿宋" w:eastAsia="仿宋" w:cs="仿宋"/>
          <w:color w:val="000000"/>
          <w:spacing w:val="0"/>
          <w:w w:val="100"/>
          <w:position w:val="0"/>
          <w:sz w:val="21"/>
          <w:szCs w:val="21"/>
        </w:rPr>
        <w:t>性能要求</w:t>
      </w:r>
    </w:p>
    <w:p>
      <w:pPr>
        <w:pStyle w:val="16"/>
        <w:keepNext w:val="0"/>
        <w:keepLines w:val="0"/>
        <w:widowControl w:val="0"/>
        <w:numPr>
          <w:ilvl w:val="0"/>
          <w:numId w:val="0"/>
        </w:numPr>
        <w:shd w:val="clear" w:color="auto" w:fill="auto"/>
        <w:tabs>
          <w:tab w:val="left" w:pos="339"/>
        </w:tabs>
        <w:bidi w:val="0"/>
        <w:spacing w:before="0" w:after="60" w:line="413" w:lineRule="exact"/>
        <w:ind w:left="0" w:leftChars="0" w:right="0" w:rightChars="0" w:firstLine="420" w:firstLineChars="200"/>
        <w:jc w:val="left"/>
        <w:rPr>
          <w:rFonts w:hint="eastAsia" w:ascii="仿宋" w:hAnsi="仿宋" w:eastAsia="仿宋" w:cs="仿宋"/>
          <w:sz w:val="21"/>
          <w:szCs w:val="21"/>
        </w:rPr>
      </w:pPr>
      <w:bookmarkStart w:id="180" w:name="bookmark31"/>
      <w:bookmarkEnd w:id="180"/>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4.</w:t>
      </w:r>
      <w:r>
        <w:rPr>
          <w:rFonts w:hint="eastAsia" w:ascii="仿宋" w:hAnsi="仿宋" w:eastAsia="仿宋" w:cs="仿宋"/>
          <w:color w:val="000000"/>
          <w:spacing w:val="0"/>
          <w:w w:val="100"/>
          <w:position w:val="0"/>
          <w:sz w:val="21"/>
          <w:szCs w:val="21"/>
        </w:rPr>
        <w:t>1读卡性能</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81" w:name="bookmark32"/>
      <w:bookmarkEnd w:id="181"/>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4.</w:t>
      </w:r>
      <w:r>
        <w:rPr>
          <w:rFonts w:hint="eastAsia" w:ascii="仿宋" w:hAnsi="仿宋" w:eastAsia="仿宋" w:cs="仿宋"/>
          <w:color w:val="000000"/>
          <w:spacing w:val="0"/>
          <w:w w:val="100"/>
          <w:position w:val="0"/>
          <w:sz w:val="21"/>
          <w:szCs w:val="21"/>
          <w:lang w:val="en-US" w:eastAsia="en-US" w:bidi="en-US"/>
        </w:rPr>
        <w:t>1.</w:t>
      </w:r>
      <w:r>
        <w:rPr>
          <w:rFonts w:hint="eastAsia" w:ascii="仿宋" w:hAnsi="仿宋" w:eastAsia="仿宋" w:cs="仿宋"/>
          <w:color w:val="000000"/>
          <w:spacing w:val="0"/>
          <w:w w:val="100"/>
          <w:position w:val="0"/>
          <w:sz w:val="21"/>
          <w:szCs w:val="21"/>
        </w:rPr>
        <w:t xml:space="preserve">1接触式读卡器有效刷卡距离应小于5 </w:t>
      </w:r>
      <w:r>
        <w:rPr>
          <w:rFonts w:hint="eastAsia" w:ascii="仿宋" w:hAnsi="仿宋" w:eastAsia="仿宋" w:cs="仿宋"/>
          <w:color w:val="000000"/>
          <w:spacing w:val="0"/>
          <w:w w:val="100"/>
          <w:position w:val="0"/>
          <w:sz w:val="21"/>
          <w:szCs w:val="21"/>
          <w:lang w:val="en-US" w:eastAsia="en-US" w:bidi="en-US"/>
        </w:rPr>
        <w:t>cm。</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lang w:val="en-US" w:eastAsia="en-US" w:bidi="en-US"/>
        </w:rPr>
        <w:t>4.1.2</w:t>
      </w:r>
      <w:r>
        <w:rPr>
          <w:rFonts w:hint="eastAsia" w:ascii="仿宋" w:hAnsi="仿宋" w:eastAsia="仿宋" w:cs="仿宋"/>
          <w:color w:val="000000"/>
          <w:spacing w:val="0"/>
          <w:w w:val="100"/>
          <w:position w:val="0"/>
          <w:sz w:val="21"/>
          <w:szCs w:val="21"/>
        </w:rPr>
        <w:t xml:space="preserve">刷卡响应时间应小于3 </w:t>
      </w:r>
      <w:r>
        <w:rPr>
          <w:rFonts w:hint="eastAsia" w:ascii="仿宋" w:hAnsi="仿宋" w:eastAsia="仿宋" w:cs="仿宋"/>
          <w:color w:val="000000"/>
          <w:spacing w:val="0"/>
          <w:w w:val="100"/>
          <w:position w:val="0"/>
          <w:sz w:val="21"/>
          <w:szCs w:val="21"/>
          <w:lang w:val="en-US" w:eastAsia="en-US" w:bidi="en-US"/>
        </w:rPr>
        <w:t>So</w:t>
      </w:r>
    </w:p>
    <w:p>
      <w:pPr>
        <w:pStyle w:val="16"/>
        <w:keepNext w:val="0"/>
        <w:keepLines w:val="0"/>
        <w:widowControl w:val="0"/>
        <w:numPr>
          <w:ilvl w:val="0"/>
          <w:numId w:val="0"/>
        </w:numPr>
        <w:shd w:val="clear" w:color="auto" w:fill="auto"/>
        <w:tabs>
          <w:tab w:val="left" w:pos="339"/>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82" w:name="bookmark33"/>
      <w:bookmarkEnd w:id="182"/>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4.</w:t>
      </w:r>
      <w:r>
        <w:rPr>
          <w:rFonts w:hint="eastAsia" w:ascii="仿宋" w:hAnsi="仿宋" w:eastAsia="仿宋" w:cs="仿宋"/>
          <w:color w:val="000000"/>
          <w:spacing w:val="0"/>
          <w:w w:val="100"/>
          <w:position w:val="0"/>
          <w:sz w:val="21"/>
          <w:szCs w:val="21"/>
        </w:rPr>
        <w:t>2电源电压适应性</w:t>
      </w:r>
    </w:p>
    <w:p>
      <w:pPr>
        <w:pStyle w:val="16"/>
        <w:keepNext w:val="0"/>
        <w:keepLines w:val="0"/>
        <w:widowControl w:val="0"/>
        <w:numPr>
          <w:ilvl w:val="0"/>
          <w:numId w:val="0"/>
        </w:numPr>
        <w:shd w:val="clear" w:color="auto" w:fill="auto"/>
        <w:tabs>
          <w:tab w:val="left" w:pos="339"/>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83" w:name="bookmark34"/>
      <w:bookmarkEnd w:id="183"/>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4.</w:t>
      </w:r>
      <w:r>
        <w:rPr>
          <w:rFonts w:hint="eastAsia" w:ascii="仿宋" w:hAnsi="仿宋" w:eastAsia="仿宋" w:cs="仿宋"/>
          <w:color w:val="000000"/>
          <w:spacing w:val="0"/>
          <w:w w:val="100"/>
          <w:position w:val="0"/>
          <w:sz w:val="21"/>
          <w:szCs w:val="21"/>
          <w:lang w:val="en-US" w:eastAsia="en-US" w:bidi="en-US"/>
        </w:rPr>
        <w:t>2.</w:t>
      </w:r>
      <w:r>
        <w:rPr>
          <w:rFonts w:hint="eastAsia" w:ascii="仿宋" w:hAnsi="仿宋" w:eastAsia="仿宋" w:cs="仿宋"/>
          <w:color w:val="000000"/>
          <w:spacing w:val="0"/>
          <w:w w:val="100"/>
          <w:position w:val="0"/>
          <w:sz w:val="21"/>
          <w:szCs w:val="21"/>
        </w:rPr>
        <w:t>1在</w:t>
      </w:r>
      <w:r>
        <w:rPr>
          <w:rFonts w:hint="eastAsia" w:ascii="仿宋" w:hAnsi="仿宋" w:eastAsia="仿宋" w:cs="仿宋"/>
          <w:color w:val="000000"/>
          <w:spacing w:val="0"/>
          <w:w w:val="100"/>
          <w:position w:val="0"/>
          <w:sz w:val="21"/>
          <w:szCs w:val="21"/>
          <w:lang w:val="en-US" w:eastAsia="en-US" w:bidi="en-US"/>
        </w:rPr>
        <w:t xml:space="preserve">AC220 V±33 </w:t>
      </w:r>
      <w:r>
        <w:rPr>
          <w:rFonts w:hint="eastAsia" w:ascii="仿宋" w:hAnsi="仿宋" w:eastAsia="仿宋" w:cs="仿宋"/>
          <w:color w:val="000000"/>
          <w:spacing w:val="0"/>
          <w:w w:val="100"/>
          <w:position w:val="0"/>
          <w:sz w:val="21"/>
          <w:szCs w:val="21"/>
        </w:rPr>
        <w:t xml:space="preserve">V, 50 </w:t>
      </w:r>
      <w:r>
        <w:rPr>
          <w:rFonts w:hint="eastAsia" w:ascii="仿宋" w:hAnsi="仿宋" w:eastAsia="仿宋" w:cs="仿宋"/>
          <w:color w:val="000000"/>
          <w:spacing w:val="0"/>
          <w:w w:val="100"/>
          <w:position w:val="0"/>
          <w:sz w:val="21"/>
          <w:szCs w:val="21"/>
          <w:lang w:val="en-US" w:eastAsia="en-US" w:bidi="en-US"/>
        </w:rPr>
        <w:t>Hz + 0.5 Hz</w:t>
      </w:r>
      <w:r>
        <w:rPr>
          <w:rFonts w:hint="eastAsia" w:ascii="仿宋" w:hAnsi="仿宋" w:eastAsia="仿宋" w:cs="仿宋"/>
          <w:color w:val="000000"/>
          <w:spacing w:val="0"/>
          <w:w w:val="100"/>
          <w:position w:val="0"/>
          <w:sz w:val="21"/>
          <w:szCs w:val="21"/>
        </w:rPr>
        <w:t>的电源范围内，充电桩应能正常工作。</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color w:val="000000"/>
          <w:spacing w:val="0"/>
          <w:w w:val="100"/>
          <w:position w:val="0"/>
          <w:sz w:val="21"/>
          <w:szCs w:val="21"/>
        </w:rPr>
      </w:pPr>
      <w:bookmarkStart w:id="184" w:name="bookmark35"/>
      <w:bookmarkEnd w:id="184"/>
      <w:r>
        <w:rPr>
          <w:rFonts w:hint="eastAsia" w:ascii="仿宋" w:hAnsi="仿宋" w:eastAsia="仿宋" w:cs="仿宋"/>
          <w:color w:val="000000"/>
          <w:spacing w:val="0"/>
          <w:w w:val="100"/>
          <w:position w:val="0"/>
          <w:sz w:val="21"/>
          <w:szCs w:val="21"/>
          <w:lang w:val="en-US" w:eastAsia="en-US"/>
        </w:rPr>
        <w:t>4.</w:t>
      </w:r>
      <w:r>
        <w:rPr>
          <w:rFonts w:hint="eastAsia" w:ascii="仿宋" w:hAnsi="仿宋" w:eastAsia="仿宋" w:cs="仿宋"/>
          <w:color w:val="000000"/>
          <w:spacing w:val="0"/>
          <w:w w:val="100"/>
          <w:position w:val="0"/>
          <w:sz w:val="21"/>
          <w:szCs w:val="21"/>
        </w:rPr>
        <w:t>3空载直流输出电压</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color w:val="000000"/>
          <w:spacing w:val="0"/>
          <w:w w:val="100"/>
          <w:position w:val="0"/>
          <w:sz w:val="21"/>
          <w:szCs w:val="21"/>
          <w:lang w:val="en-US" w:eastAsia="en-US"/>
        </w:rPr>
      </w:pPr>
      <w:bookmarkStart w:id="185" w:name="bookmark36"/>
      <w:bookmarkEnd w:id="185"/>
      <w:r>
        <w:rPr>
          <w:rFonts w:hint="eastAsia" w:ascii="仿宋" w:hAnsi="仿宋" w:eastAsia="仿宋" w:cs="仿宋"/>
          <w:color w:val="000000"/>
          <w:spacing w:val="0"/>
          <w:w w:val="100"/>
          <w:position w:val="0"/>
          <w:sz w:val="21"/>
          <w:szCs w:val="21"/>
          <w:lang w:val="en-US" w:eastAsia="en-US"/>
        </w:rPr>
        <w:t>4.3.1空载直流输出电压应不超过42. 4 V。</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color w:val="000000"/>
          <w:spacing w:val="0"/>
          <w:w w:val="100"/>
          <w:position w:val="0"/>
          <w:sz w:val="21"/>
          <w:szCs w:val="21"/>
        </w:rPr>
      </w:pPr>
      <w:bookmarkStart w:id="186" w:name="bookmark37"/>
      <w:bookmarkEnd w:id="186"/>
      <w:r>
        <w:rPr>
          <w:rFonts w:hint="eastAsia" w:ascii="仿宋" w:hAnsi="仿宋" w:eastAsia="仿宋" w:cs="仿宋"/>
          <w:color w:val="000000"/>
          <w:spacing w:val="0"/>
          <w:w w:val="100"/>
          <w:position w:val="0"/>
          <w:sz w:val="21"/>
          <w:szCs w:val="21"/>
          <w:lang w:val="en-US" w:eastAsia="en-US"/>
        </w:rPr>
        <w:t>4.</w:t>
      </w:r>
      <w:r>
        <w:rPr>
          <w:rFonts w:hint="eastAsia" w:ascii="仿宋" w:hAnsi="仿宋" w:eastAsia="仿宋" w:cs="仿宋"/>
          <w:color w:val="000000"/>
          <w:spacing w:val="0"/>
          <w:w w:val="100"/>
          <w:position w:val="0"/>
          <w:sz w:val="21"/>
          <w:szCs w:val="21"/>
        </w:rPr>
        <w:t>4自适应性能</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color w:val="000000"/>
          <w:spacing w:val="0"/>
          <w:w w:val="100"/>
          <w:position w:val="0"/>
          <w:sz w:val="21"/>
          <w:szCs w:val="21"/>
        </w:rPr>
      </w:pPr>
      <w:bookmarkStart w:id="187" w:name="bookmark38"/>
      <w:bookmarkEnd w:id="187"/>
      <w:r>
        <w:rPr>
          <w:rFonts w:hint="eastAsia" w:ascii="仿宋" w:hAnsi="仿宋" w:eastAsia="仿宋" w:cs="仿宋"/>
          <w:color w:val="000000"/>
          <w:spacing w:val="0"/>
          <w:w w:val="100"/>
          <w:position w:val="0"/>
          <w:sz w:val="21"/>
          <w:szCs w:val="21"/>
          <w:lang w:val="en-US" w:eastAsia="en-US"/>
        </w:rPr>
        <w:t>4.4.</w:t>
      </w:r>
      <w:r>
        <w:rPr>
          <w:rFonts w:hint="eastAsia" w:ascii="仿宋" w:hAnsi="仿宋" w:eastAsia="仿宋" w:cs="仿宋"/>
          <w:color w:val="000000"/>
          <w:spacing w:val="0"/>
          <w:w w:val="100"/>
          <w:position w:val="0"/>
          <w:sz w:val="21"/>
          <w:szCs w:val="21"/>
        </w:rPr>
        <w:t>1充电桩对不同电压的蓄电池应能够自动识别并输出相匹配的电压。</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color w:val="000000"/>
          <w:spacing w:val="0"/>
          <w:w w:val="100"/>
          <w:position w:val="0"/>
          <w:sz w:val="21"/>
          <w:szCs w:val="21"/>
        </w:rPr>
      </w:pPr>
      <w:bookmarkStart w:id="188" w:name="bookmark39"/>
      <w:bookmarkEnd w:id="188"/>
      <w:r>
        <w:rPr>
          <w:rFonts w:hint="eastAsia" w:ascii="仿宋" w:hAnsi="仿宋" w:eastAsia="仿宋" w:cs="仿宋"/>
          <w:color w:val="000000"/>
          <w:spacing w:val="0"/>
          <w:w w:val="100"/>
          <w:position w:val="0"/>
          <w:sz w:val="21"/>
          <w:szCs w:val="21"/>
          <w:lang w:val="en-US" w:eastAsia="en-US"/>
        </w:rPr>
        <w:t>4.</w:t>
      </w:r>
      <w:r>
        <w:rPr>
          <w:rFonts w:hint="eastAsia" w:ascii="仿宋" w:hAnsi="仿宋" w:eastAsia="仿宋" w:cs="仿宋"/>
          <w:color w:val="000000"/>
          <w:spacing w:val="0"/>
          <w:w w:val="100"/>
          <w:position w:val="0"/>
          <w:sz w:val="21"/>
          <w:szCs w:val="21"/>
        </w:rPr>
        <w:t>5电桩效率和功率因数</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color w:val="000000"/>
          <w:spacing w:val="0"/>
          <w:w w:val="100"/>
          <w:position w:val="0"/>
          <w:sz w:val="21"/>
          <w:szCs w:val="21"/>
        </w:rPr>
      </w:pPr>
      <w:bookmarkStart w:id="189" w:name="bookmark40"/>
      <w:bookmarkEnd w:id="189"/>
      <w:r>
        <w:rPr>
          <w:rFonts w:hint="eastAsia" w:ascii="仿宋" w:hAnsi="仿宋" w:eastAsia="仿宋" w:cs="仿宋"/>
          <w:color w:val="000000"/>
          <w:spacing w:val="0"/>
          <w:w w:val="100"/>
          <w:position w:val="0"/>
          <w:sz w:val="21"/>
          <w:szCs w:val="21"/>
          <w:lang w:val="en-US" w:eastAsia="en-US"/>
        </w:rPr>
        <w:t>4.5.</w:t>
      </w:r>
      <w:r>
        <w:rPr>
          <w:rFonts w:hint="eastAsia" w:ascii="仿宋" w:hAnsi="仿宋" w:eastAsia="仿宋" w:cs="仿宋"/>
          <w:color w:val="000000"/>
          <w:spacing w:val="0"/>
          <w:w w:val="100"/>
          <w:position w:val="0"/>
          <w:sz w:val="21"/>
          <w:szCs w:val="21"/>
        </w:rPr>
        <w:t>1当（输入）功率为额定功率的50%~100%时，功率因数应不小于</w:t>
      </w:r>
      <w:r>
        <w:rPr>
          <w:rFonts w:hint="eastAsia" w:ascii="仿宋" w:hAnsi="仿宋" w:eastAsia="仿宋" w:cs="仿宋"/>
          <w:color w:val="000000"/>
          <w:spacing w:val="0"/>
          <w:w w:val="100"/>
          <w:position w:val="0"/>
          <w:sz w:val="21"/>
          <w:szCs w:val="21"/>
          <w:lang w:val="en-US" w:eastAsia="en-US"/>
        </w:rPr>
        <w:t>0.9,</w:t>
      </w:r>
      <w:r>
        <w:rPr>
          <w:rFonts w:hint="eastAsia" w:ascii="仿宋" w:hAnsi="仿宋" w:eastAsia="仿宋" w:cs="仿宋"/>
          <w:color w:val="000000"/>
          <w:spacing w:val="0"/>
          <w:w w:val="100"/>
          <w:position w:val="0"/>
          <w:sz w:val="21"/>
          <w:szCs w:val="21"/>
        </w:rPr>
        <w:t>效率应不小于90%。</w:t>
      </w:r>
    </w:p>
    <w:p>
      <w:pPr>
        <w:pStyle w:val="16"/>
        <w:keepNext w:val="0"/>
        <w:keepLines w:val="0"/>
        <w:widowControl w:val="0"/>
        <w:numPr>
          <w:ilvl w:val="0"/>
          <w:numId w:val="0"/>
        </w:numPr>
        <w:shd w:val="clear" w:color="auto" w:fill="auto"/>
        <w:tabs>
          <w:tab w:val="left" w:pos="339"/>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90" w:name="bookmark41"/>
      <w:bookmarkEnd w:id="190"/>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auto"/>
          <w:lang w:val="en-US" w:eastAsia="en-US" w:bidi="en-US"/>
        </w:rPr>
        <w:t>5.</w:t>
      </w:r>
      <w:r>
        <w:rPr>
          <w:rFonts w:hint="eastAsia" w:ascii="仿宋" w:hAnsi="仿宋" w:eastAsia="仿宋" w:cs="仿宋"/>
          <w:color w:val="000000"/>
          <w:spacing w:val="0"/>
          <w:w w:val="100"/>
          <w:position w:val="0"/>
          <w:sz w:val="21"/>
          <w:szCs w:val="21"/>
        </w:rPr>
        <w:t>安全要求</w:t>
      </w:r>
    </w:p>
    <w:p>
      <w:pPr>
        <w:pStyle w:val="16"/>
        <w:keepNext w:val="0"/>
        <w:keepLines w:val="0"/>
        <w:widowControl w:val="0"/>
        <w:numPr>
          <w:ilvl w:val="0"/>
          <w:numId w:val="0"/>
        </w:numPr>
        <w:shd w:val="clear" w:color="auto" w:fill="auto"/>
        <w:tabs>
          <w:tab w:val="left" w:pos="334"/>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91" w:name="bookmark42"/>
      <w:bookmarkEnd w:id="191"/>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5.</w:t>
      </w:r>
      <w:r>
        <w:rPr>
          <w:rFonts w:hint="eastAsia" w:ascii="仿宋" w:hAnsi="仿宋" w:eastAsia="仿宋" w:cs="仿宋"/>
          <w:color w:val="000000"/>
          <w:spacing w:val="0"/>
          <w:w w:val="100"/>
          <w:position w:val="0"/>
          <w:sz w:val="21"/>
          <w:szCs w:val="21"/>
        </w:rPr>
        <w:t>1泄漏电流和电气强度</w:t>
      </w:r>
    </w:p>
    <w:p>
      <w:pPr>
        <w:pStyle w:val="16"/>
        <w:keepNext w:val="0"/>
        <w:keepLines w:val="0"/>
        <w:widowControl w:val="0"/>
        <w:numPr>
          <w:ilvl w:val="0"/>
          <w:numId w:val="0"/>
        </w:numPr>
        <w:shd w:val="clear" w:color="auto" w:fill="auto"/>
        <w:tabs>
          <w:tab w:val="left" w:pos="334"/>
        </w:tabs>
        <w:bidi w:val="0"/>
        <w:spacing w:before="0" w:after="60" w:line="413" w:lineRule="exact"/>
        <w:ind w:left="0" w:leftChars="0" w:right="0" w:rightChars="0" w:firstLine="420" w:firstLineChars="200"/>
        <w:jc w:val="left"/>
        <w:rPr>
          <w:rFonts w:hint="eastAsia" w:ascii="仿宋" w:hAnsi="仿宋" w:eastAsia="仿宋" w:cs="仿宋"/>
          <w:sz w:val="21"/>
          <w:szCs w:val="21"/>
        </w:rPr>
      </w:pPr>
      <w:bookmarkStart w:id="192" w:name="bookmark43"/>
      <w:bookmarkEnd w:id="192"/>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5.</w:t>
      </w:r>
      <w:r>
        <w:rPr>
          <w:rFonts w:hint="eastAsia" w:ascii="仿宋" w:hAnsi="仿宋" w:eastAsia="仿宋" w:cs="仿宋"/>
          <w:color w:val="000000"/>
          <w:spacing w:val="0"/>
          <w:w w:val="100"/>
          <w:position w:val="0"/>
          <w:sz w:val="21"/>
          <w:szCs w:val="21"/>
          <w:lang w:val="en-US" w:eastAsia="en-US" w:bidi="en-US"/>
        </w:rPr>
        <w:t>1.</w:t>
      </w:r>
      <w:r>
        <w:rPr>
          <w:rFonts w:hint="eastAsia" w:ascii="仿宋" w:hAnsi="仿宋" w:eastAsia="仿宋" w:cs="仿宋"/>
          <w:color w:val="000000"/>
          <w:spacing w:val="0"/>
          <w:w w:val="100"/>
          <w:position w:val="0"/>
          <w:sz w:val="21"/>
          <w:szCs w:val="21"/>
        </w:rPr>
        <w:t>1充电桩的泄漏电流应</w:t>
      </w:r>
      <w:r>
        <w:rPr>
          <w:rFonts w:hint="eastAsia" w:ascii="仿宋" w:hAnsi="仿宋" w:eastAsia="仿宋" w:cs="仿宋"/>
          <w:color w:val="000000"/>
          <w:spacing w:val="0"/>
          <w:w w:val="100"/>
          <w:position w:val="0"/>
          <w:sz w:val="21"/>
          <w:szCs w:val="21"/>
          <w:lang w:val="en-US" w:eastAsia="en-US" w:bidi="en-US"/>
        </w:rPr>
        <w:t xml:space="preserve">W0. </w:t>
      </w:r>
      <w:r>
        <w:rPr>
          <w:rFonts w:hint="eastAsia" w:ascii="仿宋" w:hAnsi="仿宋" w:eastAsia="仿宋" w:cs="仿宋"/>
          <w:color w:val="000000"/>
          <w:spacing w:val="0"/>
          <w:w w:val="100"/>
          <w:position w:val="0"/>
          <w:sz w:val="21"/>
          <w:szCs w:val="21"/>
        </w:rPr>
        <w:t xml:space="preserve">75 </w:t>
      </w:r>
      <w:r>
        <w:rPr>
          <w:rFonts w:hint="eastAsia" w:ascii="仿宋" w:hAnsi="仿宋" w:eastAsia="仿宋" w:cs="仿宋"/>
          <w:color w:val="000000"/>
          <w:spacing w:val="0"/>
          <w:w w:val="100"/>
          <w:position w:val="0"/>
          <w:sz w:val="21"/>
          <w:szCs w:val="21"/>
          <w:lang w:val="en-US" w:eastAsia="en-US" w:bidi="en-US"/>
        </w:rPr>
        <w:t>mAo</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193" w:name="bookmark44"/>
      <w:bookmarkEnd w:id="193"/>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5.</w:t>
      </w:r>
      <w:r>
        <w:rPr>
          <w:rFonts w:hint="eastAsia" w:ascii="仿宋" w:hAnsi="仿宋" w:eastAsia="仿宋" w:cs="仿宋"/>
          <w:color w:val="000000"/>
          <w:spacing w:val="0"/>
          <w:w w:val="100"/>
          <w:position w:val="0"/>
          <w:sz w:val="21"/>
          <w:szCs w:val="21"/>
          <w:lang w:val="en-US" w:eastAsia="en-US" w:bidi="en-US"/>
        </w:rPr>
        <w:t>1.2</w:t>
      </w:r>
      <w:r>
        <w:rPr>
          <w:rFonts w:hint="eastAsia" w:ascii="仿宋" w:hAnsi="仿宋" w:eastAsia="仿宋" w:cs="仿宋"/>
          <w:color w:val="000000"/>
          <w:spacing w:val="0"/>
          <w:w w:val="100"/>
          <w:position w:val="0"/>
          <w:sz w:val="21"/>
          <w:szCs w:val="21"/>
        </w:rPr>
        <w:t>充电桩的一次电路和二次电路之间、一次电路和外壳之间的基本绝缘应能承受</w:t>
      </w:r>
      <w:r>
        <w:rPr>
          <w:rFonts w:hint="eastAsia" w:ascii="仿宋" w:hAnsi="仿宋" w:eastAsia="仿宋" w:cs="仿宋"/>
          <w:color w:val="000000"/>
          <w:spacing w:val="0"/>
          <w:w w:val="100"/>
          <w:position w:val="0"/>
          <w:sz w:val="21"/>
          <w:szCs w:val="21"/>
          <w:lang w:val="en-US" w:eastAsia="en-US" w:bidi="en-US"/>
        </w:rPr>
        <w:t xml:space="preserve">AC1250 V, </w:t>
      </w:r>
      <w:r>
        <w:rPr>
          <w:rFonts w:hint="eastAsia" w:ascii="仿宋" w:hAnsi="仿宋" w:eastAsia="仿宋" w:cs="仿宋"/>
          <w:color w:val="000000"/>
          <w:spacing w:val="0"/>
          <w:w w:val="100"/>
          <w:position w:val="0"/>
          <w:sz w:val="21"/>
          <w:szCs w:val="21"/>
        </w:rPr>
        <w:t xml:space="preserve">50 </w:t>
      </w:r>
      <w:r>
        <w:rPr>
          <w:rFonts w:hint="eastAsia" w:ascii="仿宋" w:hAnsi="仿宋" w:eastAsia="仿宋" w:cs="仿宋"/>
          <w:color w:val="000000"/>
          <w:spacing w:val="0"/>
          <w:w w:val="100"/>
          <w:position w:val="0"/>
          <w:sz w:val="21"/>
          <w:szCs w:val="21"/>
          <w:lang w:val="en-US" w:eastAsia="en-US" w:bidi="en-US"/>
        </w:rPr>
        <w:t>Hz</w:t>
      </w:r>
      <w:r>
        <w:rPr>
          <w:rFonts w:hint="eastAsia" w:ascii="仿宋" w:hAnsi="仿宋" w:eastAsia="仿宋" w:cs="仿宋"/>
          <w:color w:val="000000"/>
          <w:spacing w:val="0"/>
          <w:w w:val="100"/>
          <w:position w:val="0"/>
          <w:sz w:val="21"/>
          <w:szCs w:val="21"/>
        </w:rPr>
        <w:t xml:space="preserve">的电 压，持续1 </w:t>
      </w:r>
      <w:r>
        <w:rPr>
          <w:rFonts w:hint="eastAsia" w:ascii="仿宋" w:hAnsi="仿宋" w:eastAsia="仿宋" w:cs="仿宋"/>
          <w:color w:val="000000"/>
          <w:spacing w:val="0"/>
          <w:w w:val="100"/>
          <w:position w:val="0"/>
          <w:sz w:val="21"/>
          <w:szCs w:val="21"/>
          <w:lang w:val="en-US" w:eastAsia="en-US" w:bidi="en-US"/>
        </w:rPr>
        <w:t>min,</w:t>
      </w:r>
      <w:r>
        <w:rPr>
          <w:rFonts w:hint="eastAsia" w:ascii="仿宋" w:hAnsi="仿宋" w:eastAsia="仿宋" w:cs="仿宋"/>
          <w:color w:val="000000"/>
          <w:spacing w:val="0"/>
          <w:w w:val="100"/>
          <w:position w:val="0"/>
          <w:sz w:val="21"/>
          <w:szCs w:val="21"/>
        </w:rPr>
        <w:t>加强绝缘应能承受</w:t>
      </w:r>
      <w:r>
        <w:rPr>
          <w:rFonts w:hint="eastAsia" w:ascii="仿宋" w:hAnsi="仿宋" w:eastAsia="仿宋" w:cs="仿宋"/>
          <w:color w:val="000000"/>
          <w:spacing w:val="0"/>
          <w:w w:val="100"/>
          <w:position w:val="0"/>
          <w:sz w:val="21"/>
          <w:szCs w:val="21"/>
          <w:lang w:val="en-US" w:eastAsia="en-US" w:bidi="en-US"/>
        </w:rPr>
        <w:t xml:space="preserve">AC3000 </w:t>
      </w:r>
      <w:r>
        <w:rPr>
          <w:rFonts w:hint="eastAsia" w:ascii="仿宋" w:hAnsi="仿宋" w:eastAsia="仿宋" w:cs="仿宋"/>
          <w:color w:val="000000"/>
          <w:spacing w:val="0"/>
          <w:w w:val="100"/>
          <w:position w:val="0"/>
          <w:sz w:val="21"/>
          <w:szCs w:val="21"/>
        </w:rPr>
        <w:t xml:space="preserve">V, 50 </w:t>
      </w:r>
      <w:r>
        <w:rPr>
          <w:rFonts w:hint="eastAsia" w:ascii="仿宋" w:hAnsi="仿宋" w:eastAsia="仿宋" w:cs="仿宋"/>
          <w:color w:val="000000"/>
          <w:spacing w:val="0"/>
          <w:w w:val="100"/>
          <w:position w:val="0"/>
          <w:sz w:val="21"/>
          <w:szCs w:val="21"/>
          <w:lang w:val="en-US" w:eastAsia="en-US" w:bidi="en-US"/>
        </w:rPr>
        <w:t>Hz</w:t>
      </w:r>
      <w:r>
        <w:rPr>
          <w:rFonts w:hint="eastAsia" w:ascii="仿宋" w:hAnsi="仿宋" w:eastAsia="仿宋" w:cs="仿宋"/>
          <w:color w:val="000000"/>
          <w:spacing w:val="0"/>
          <w:w w:val="100"/>
          <w:position w:val="0"/>
          <w:sz w:val="21"/>
          <w:szCs w:val="21"/>
        </w:rPr>
        <w:t xml:space="preserve">的电压，持续1 </w:t>
      </w:r>
      <w:r>
        <w:rPr>
          <w:rFonts w:hint="eastAsia" w:ascii="仿宋" w:hAnsi="仿宋" w:eastAsia="仿宋" w:cs="仿宋"/>
          <w:color w:val="000000"/>
          <w:spacing w:val="0"/>
          <w:w w:val="100"/>
          <w:position w:val="0"/>
          <w:sz w:val="21"/>
          <w:szCs w:val="21"/>
          <w:lang w:val="en-US" w:eastAsia="en-US" w:bidi="en-US"/>
        </w:rPr>
        <w:t>min,</w:t>
      </w:r>
      <w:r>
        <w:rPr>
          <w:rFonts w:hint="eastAsia" w:ascii="仿宋" w:hAnsi="仿宋" w:eastAsia="仿宋" w:cs="仿宋"/>
          <w:color w:val="000000"/>
          <w:spacing w:val="0"/>
          <w:w w:val="100"/>
          <w:position w:val="0"/>
          <w:sz w:val="21"/>
          <w:szCs w:val="21"/>
        </w:rPr>
        <w:t>试验期间应无击穿，无飞弧。</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420" w:firstLineChars="200"/>
        <w:jc w:val="left"/>
        <w:rPr>
          <w:rFonts w:hint="eastAsia" w:ascii="仿宋" w:hAnsi="仿宋" w:eastAsia="仿宋" w:cs="仿宋"/>
          <w:color w:val="000000"/>
          <w:spacing w:val="0"/>
          <w:w w:val="100"/>
          <w:position w:val="0"/>
          <w:sz w:val="21"/>
          <w:szCs w:val="21"/>
          <w:lang w:val="en-US" w:eastAsia="en-US" w:bidi="en-US"/>
        </w:rPr>
      </w:pPr>
      <w:bookmarkStart w:id="194" w:name="bookmark45"/>
      <w:bookmarkEnd w:id="194"/>
      <w:r>
        <w:rPr>
          <w:rFonts w:hint="eastAsia" w:ascii="仿宋" w:hAnsi="仿宋" w:eastAsia="仿宋" w:cs="仿宋"/>
          <w:color w:val="000000"/>
          <w:spacing w:val="0"/>
          <w:w w:val="100"/>
          <w:position w:val="0"/>
          <w:sz w:val="21"/>
          <w:szCs w:val="21"/>
          <w:lang w:val="en-US" w:eastAsia="en-US" w:bidi="en-US"/>
        </w:rPr>
        <w:t>5.2短路保护</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color w:val="000000"/>
          <w:spacing w:val="0"/>
          <w:w w:val="100"/>
          <w:position w:val="0"/>
          <w:sz w:val="21"/>
          <w:szCs w:val="21"/>
          <w:lang w:val="en-US" w:eastAsia="en-US"/>
        </w:rPr>
      </w:pPr>
      <w:bookmarkStart w:id="195" w:name="bookmark46"/>
      <w:bookmarkEnd w:id="195"/>
      <w:r>
        <w:rPr>
          <w:rFonts w:hint="eastAsia" w:ascii="仿宋" w:hAnsi="仿宋" w:eastAsia="仿宋" w:cs="仿宋"/>
          <w:color w:val="000000"/>
          <w:spacing w:val="0"/>
          <w:w w:val="100"/>
          <w:position w:val="0"/>
          <w:sz w:val="21"/>
          <w:szCs w:val="21"/>
          <w:lang w:val="en-US" w:eastAsia="en-US" w:bidi="en-US"/>
        </w:rPr>
        <w:t>5.2.1充电桩在启动前，输出短路时，通电后应不启动；在工作过程中，输出短路时，</w:t>
      </w:r>
      <w:r>
        <w:rPr>
          <w:rFonts w:hint="eastAsia" w:ascii="仿宋" w:hAnsi="仿宋" w:eastAsia="仿宋" w:cs="仿宋"/>
          <w:color w:val="000000"/>
          <w:spacing w:val="0"/>
          <w:w w:val="100"/>
          <w:position w:val="0"/>
          <w:sz w:val="21"/>
          <w:szCs w:val="21"/>
          <w:lang w:val="en-US" w:eastAsia="en-US"/>
        </w:rPr>
        <w:t>应停止输出；故障排 除后，充电桩应能正常工作。</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color w:val="000000"/>
          <w:spacing w:val="0"/>
          <w:w w:val="100"/>
          <w:position w:val="0"/>
          <w:sz w:val="21"/>
          <w:szCs w:val="21"/>
          <w:lang w:val="en-US" w:eastAsia="en-US"/>
        </w:rPr>
      </w:pPr>
      <w:bookmarkStart w:id="196" w:name="bookmark47"/>
      <w:bookmarkEnd w:id="196"/>
      <w:r>
        <w:rPr>
          <w:rFonts w:hint="eastAsia" w:ascii="仿宋" w:hAnsi="仿宋" w:eastAsia="仿宋" w:cs="仿宋"/>
          <w:color w:val="000000"/>
          <w:spacing w:val="0"/>
          <w:w w:val="100"/>
          <w:position w:val="0"/>
          <w:sz w:val="21"/>
          <w:szCs w:val="21"/>
          <w:lang w:val="en-US" w:eastAsia="en-US"/>
        </w:rPr>
        <w:t>5.3超温保护</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color w:val="000000"/>
          <w:spacing w:val="0"/>
          <w:w w:val="100"/>
          <w:position w:val="0"/>
          <w:sz w:val="21"/>
          <w:szCs w:val="21"/>
        </w:rPr>
      </w:pPr>
      <w:bookmarkStart w:id="197" w:name="bookmark48"/>
      <w:bookmarkEnd w:id="197"/>
      <w:r>
        <w:rPr>
          <w:rFonts w:hint="eastAsia" w:ascii="仿宋" w:hAnsi="仿宋" w:eastAsia="仿宋" w:cs="仿宋"/>
          <w:color w:val="000000"/>
          <w:spacing w:val="0"/>
          <w:w w:val="100"/>
          <w:position w:val="0"/>
          <w:sz w:val="21"/>
          <w:szCs w:val="21"/>
          <w:lang w:val="en-US" w:eastAsia="en-US"/>
        </w:rPr>
        <w:t>5.3.</w:t>
      </w:r>
      <w:r>
        <w:rPr>
          <w:rFonts w:hint="eastAsia" w:ascii="仿宋" w:hAnsi="仿宋" w:eastAsia="仿宋" w:cs="仿宋"/>
          <w:color w:val="000000"/>
          <w:spacing w:val="0"/>
          <w:w w:val="100"/>
          <w:position w:val="0"/>
          <w:sz w:val="21"/>
          <w:szCs w:val="21"/>
        </w:rPr>
        <w:t xml:space="preserve">1在25 </w:t>
      </w:r>
      <w:r>
        <w:rPr>
          <w:rFonts w:hint="eastAsia" w:ascii="仿宋" w:hAnsi="仿宋" w:eastAsia="仿宋" w:cs="仿宋"/>
          <w:color w:val="000000"/>
          <w:spacing w:val="0"/>
          <w:w w:val="100"/>
          <w:position w:val="0"/>
          <w:sz w:val="21"/>
          <w:szCs w:val="21"/>
          <w:lang w:val="en-US" w:eastAsia="en-US"/>
        </w:rPr>
        <w:t xml:space="preserve">°C </w:t>
      </w:r>
      <w:r>
        <w:rPr>
          <w:rFonts w:hint="eastAsia" w:ascii="仿宋" w:hAnsi="仿宋" w:eastAsia="仿宋" w:cs="仿宋"/>
          <w:color w:val="000000"/>
          <w:spacing w:val="0"/>
          <w:w w:val="100"/>
          <w:position w:val="0"/>
          <w:sz w:val="21"/>
          <w:szCs w:val="21"/>
        </w:rPr>
        <w:t xml:space="preserve">±5 </w:t>
      </w:r>
      <w:r>
        <w:rPr>
          <w:rFonts w:hint="eastAsia" w:ascii="仿宋" w:hAnsi="仿宋" w:eastAsia="仿宋" w:cs="仿宋"/>
          <w:color w:val="000000"/>
          <w:spacing w:val="0"/>
          <w:w w:val="100"/>
          <w:position w:val="0"/>
          <w:sz w:val="21"/>
          <w:szCs w:val="21"/>
          <w:lang w:val="en-US" w:eastAsia="en-US"/>
        </w:rPr>
        <w:t>°C</w:t>
      </w:r>
      <w:r>
        <w:rPr>
          <w:rFonts w:hint="eastAsia" w:ascii="仿宋" w:hAnsi="仿宋" w:eastAsia="仿宋" w:cs="仿宋"/>
          <w:color w:val="000000"/>
          <w:spacing w:val="0"/>
          <w:w w:val="100"/>
          <w:position w:val="0"/>
          <w:sz w:val="21"/>
          <w:szCs w:val="21"/>
        </w:rPr>
        <w:t xml:space="preserve">环境条件下，最大负载时，充电桩的温升不得超过50 </w:t>
      </w:r>
      <w:r>
        <w:rPr>
          <w:rFonts w:hint="eastAsia" w:ascii="仿宋" w:hAnsi="仿宋" w:eastAsia="仿宋" w:cs="仿宋"/>
          <w:color w:val="000000"/>
          <w:spacing w:val="0"/>
          <w:w w:val="100"/>
          <w:position w:val="0"/>
          <w:sz w:val="21"/>
          <w:szCs w:val="21"/>
          <w:lang w:val="en-US" w:eastAsia="en-US"/>
        </w:rPr>
        <w:t>K。</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color w:val="000000"/>
          <w:spacing w:val="0"/>
          <w:w w:val="100"/>
          <w:position w:val="0"/>
          <w:sz w:val="21"/>
          <w:szCs w:val="21"/>
        </w:rPr>
      </w:pPr>
      <w:bookmarkStart w:id="198" w:name="bookmark49"/>
      <w:bookmarkEnd w:id="198"/>
      <w:r>
        <w:rPr>
          <w:rFonts w:hint="eastAsia" w:ascii="仿宋" w:hAnsi="仿宋" w:eastAsia="仿宋" w:cs="仿宋"/>
          <w:color w:val="000000"/>
          <w:spacing w:val="0"/>
          <w:w w:val="100"/>
          <w:position w:val="0"/>
          <w:sz w:val="21"/>
          <w:szCs w:val="21"/>
          <w:lang w:val="en-US" w:eastAsia="en-US"/>
        </w:rPr>
        <w:t>5.</w:t>
      </w:r>
      <w:r>
        <w:rPr>
          <w:rFonts w:hint="eastAsia" w:ascii="仿宋" w:hAnsi="仿宋" w:eastAsia="仿宋" w:cs="仿宋"/>
          <w:color w:val="000000"/>
          <w:spacing w:val="0"/>
          <w:w w:val="100"/>
          <w:position w:val="0"/>
          <w:sz w:val="21"/>
          <w:szCs w:val="21"/>
        </w:rPr>
        <w:t>4反接保护</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color w:val="000000"/>
          <w:spacing w:val="0"/>
          <w:w w:val="100"/>
          <w:position w:val="0"/>
          <w:sz w:val="21"/>
          <w:szCs w:val="21"/>
        </w:rPr>
      </w:pPr>
      <w:bookmarkStart w:id="199" w:name="bookmark50"/>
      <w:bookmarkEnd w:id="199"/>
      <w:r>
        <w:rPr>
          <w:rFonts w:hint="eastAsia" w:ascii="仿宋" w:hAnsi="仿宋" w:eastAsia="仿宋" w:cs="仿宋"/>
          <w:color w:val="000000"/>
          <w:spacing w:val="0"/>
          <w:w w:val="100"/>
          <w:position w:val="0"/>
          <w:sz w:val="21"/>
          <w:szCs w:val="21"/>
          <w:lang w:val="en-US" w:eastAsia="en-US"/>
        </w:rPr>
        <w:t>5.</w:t>
      </w:r>
      <w:r>
        <w:rPr>
          <w:rFonts w:hint="eastAsia" w:ascii="仿宋" w:hAnsi="仿宋" w:eastAsia="仿宋" w:cs="仿宋"/>
          <w:color w:val="000000"/>
          <w:spacing w:val="0"/>
          <w:w w:val="100"/>
          <w:position w:val="0"/>
          <w:sz w:val="21"/>
          <w:szCs w:val="21"/>
        </w:rPr>
        <w:t>5接地措施</w:t>
      </w:r>
    </w:p>
    <w:p>
      <w:pPr>
        <w:pStyle w:val="16"/>
        <w:keepNext w:val="0"/>
        <w:keepLines w:val="0"/>
        <w:widowControl w:val="0"/>
        <w:numPr>
          <w:ilvl w:val="0"/>
          <w:numId w:val="0"/>
        </w:numPr>
        <w:shd w:val="clear" w:color="auto" w:fill="auto"/>
        <w:tabs>
          <w:tab w:val="left" w:pos="330"/>
        </w:tabs>
        <w:bidi w:val="0"/>
        <w:spacing w:before="0" w:after="0" w:line="413" w:lineRule="exact"/>
        <w:ind w:left="0" w:leftChars="0" w:right="0" w:rightChars="0" w:firstLine="420" w:firstLineChars="200"/>
        <w:jc w:val="left"/>
        <w:rPr>
          <w:rFonts w:hint="eastAsia" w:ascii="仿宋" w:hAnsi="仿宋" w:eastAsia="仿宋" w:cs="仿宋"/>
          <w:sz w:val="21"/>
          <w:szCs w:val="21"/>
        </w:rPr>
      </w:pPr>
      <w:bookmarkStart w:id="200" w:name="bookmark51"/>
      <w:bookmarkEnd w:id="200"/>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5.</w:t>
      </w:r>
      <w:r>
        <w:rPr>
          <w:rFonts w:hint="eastAsia" w:ascii="仿宋" w:hAnsi="仿宋" w:eastAsia="仿宋" w:cs="仿宋"/>
          <w:color w:val="000000"/>
          <w:spacing w:val="0"/>
          <w:w w:val="100"/>
          <w:position w:val="0"/>
          <w:sz w:val="21"/>
          <w:szCs w:val="21"/>
          <w:lang w:val="en-US" w:eastAsia="en-US" w:bidi="en-US"/>
        </w:rPr>
        <w:t>5.</w:t>
      </w:r>
      <w:r>
        <w:rPr>
          <w:rFonts w:hint="eastAsia" w:ascii="仿宋" w:hAnsi="仿宋" w:eastAsia="仿宋" w:cs="仿宋"/>
          <w:color w:val="000000"/>
          <w:spacing w:val="0"/>
          <w:w w:val="100"/>
          <w:position w:val="0"/>
          <w:sz w:val="21"/>
          <w:szCs w:val="21"/>
        </w:rPr>
        <w:t>1充电桩接地端子，电阻应小于</w:t>
      </w:r>
      <w:r>
        <w:rPr>
          <w:rFonts w:hint="eastAsia" w:ascii="仿宋" w:hAnsi="仿宋" w:eastAsia="仿宋" w:cs="仿宋"/>
          <w:color w:val="000000"/>
          <w:spacing w:val="0"/>
          <w:w w:val="100"/>
          <w:position w:val="0"/>
          <w:sz w:val="21"/>
          <w:szCs w:val="21"/>
          <w:lang w:val="en-US" w:eastAsia="en-US" w:bidi="en-US"/>
        </w:rPr>
        <w:t>0.2 Q。</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lang w:val="en-US" w:eastAsia="en-US" w:bidi="en-US"/>
        </w:rPr>
        <w:t>5.5.2</w:t>
      </w:r>
      <w:r>
        <w:rPr>
          <w:rFonts w:hint="eastAsia" w:ascii="仿宋" w:hAnsi="仿宋" w:eastAsia="仿宋" w:cs="仿宋"/>
          <w:color w:val="000000"/>
          <w:spacing w:val="0"/>
          <w:w w:val="100"/>
          <w:position w:val="0"/>
          <w:sz w:val="21"/>
          <w:szCs w:val="21"/>
        </w:rPr>
        <w:t>防触电保护</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lang w:val="en-US" w:eastAsia="en-US" w:bidi="en-US"/>
        </w:rPr>
        <w:t>5.5.4</w:t>
      </w:r>
      <w:r>
        <w:rPr>
          <w:rFonts w:hint="eastAsia" w:ascii="仿宋" w:hAnsi="仿宋" w:eastAsia="仿宋" w:cs="仿宋"/>
          <w:color w:val="000000"/>
          <w:spacing w:val="0"/>
          <w:w w:val="100"/>
          <w:position w:val="0"/>
          <w:sz w:val="21"/>
          <w:szCs w:val="21"/>
        </w:rPr>
        <w:t>充电桩的结构、外壳按</w:t>
      </w:r>
      <w:r>
        <w:rPr>
          <w:rFonts w:hint="eastAsia" w:ascii="仿宋" w:hAnsi="仿宋" w:eastAsia="仿宋" w:cs="仿宋"/>
          <w:color w:val="000000"/>
          <w:spacing w:val="0"/>
          <w:w w:val="100"/>
          <w:position w:val="0"/>
          <w:sz w:val="21"/>
          <w:szCs w:val="21"/>
          <w:lang w:val="en-US" w:eastAsia="en-US" w:bidi="en-US"/>
        </w:rPr>
        <w:t>GB 4706.1—2005</w:t>
      </w:r>
      <w:r>
        <w:rPr>
          <w:rFonts w:hint="eastAsia" w:ascii="仿宋" w:hAnsi="仿宋" w:eastAsia="仿宋" w:cs="仿宋"/>
          <w:color w:val="000000"/>
          <w:spacing w:val="0"/>
          <w:w w:val="100"/>
          <w:position w:val="0"/>
          <w:sz w:val="21"/>
          <w:szCs w:val="21"/>
        </w:rPr>
        <w:t>中</w:t>
      </w:r>
      <w:r>
        <w:rPr>
          <w:rFonts w:hint="eastAsia" w:ascii="仿宋" w:hAnsi="仿宋" w:eastAsia="仿宋" w:cs="仿宋"/>
          <w:color w:val="000000"/>
          <w:spacing w:val="0"/>
          <w:w w:val="100"/>
          <w:position w:val="0"/>
          <w:sz w:val="21"/>
          <w:szCs w:val="21"/>
          <w:lang w:val="en-US" w:eastAsia="en-US" w:bidi="en-US"/>
        </w:rPr>
        <w:t xml:space="preserve">8. </w:t>
      </w:r>
      <w:r>
        <w:rPr>
          <w:rFonts w:hint="eastAsia" w:ascii="仿宋" w:hAnsi="仿宋" w:eastAsia="仿宋" w:cs="仿宋"/>
          <w:color w:val="000000"/>
          <w:spacing w:val="0"/>
          <w:w w:val="100"/>
          <w:position w:val="0"/>
          <w:sz w:val="21"/>
          <w:szCs w:val="21"/>
        </w:rPr>
        <w:t>1规定应对意外触及带电部件有足够的防护。</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lang w:val="en-US" w:eastAsia="en-US" w:bidi="en-US"/>
        </w:rPr>
        <w:t xml:space="preserve">5.5.5IP </w:t>
      </w:r>
      <w:r>
        <w:rPr>
          <w:rFonts w:hint="eastAsia" w:ascii="仿宋" w:hAnsi="仿宋" w:eastAsia="仿宋" w:cs="仿宋"/>
          <w:color w:val="000000"/>
          <w:spacing w:val="0"/>
          <w:w w:val="100"/>
          <w:position w:val="0"/>
          <w:sz w:val="21"/>
          <w:szCs w:val="21"/>
        </w:rPr>
        <w:t>等级</w:t>
      </w:r>
    </w:p>
    <w:p>
      <w:pPr>
        <w:pStyle w:val="16"/>
        <w:keepNext w:val="0"/>
        <w:keepLines w:val="0"/>
        <w:widowControl w:val="0"/>
        <w:shd w:val="clear" w:color="auto" w:fill="auto"/>
        <w:bidi w:val="0"/>
        <w:spacing w:before="0" w:after="60" w:line="413"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室内使用的充电桩防护等级应不小于</w:t>
      </w:r>
      <w:r>
        <w:rPr>
          <w:rFonts w:hint="eastAsia" w:ascii="仿宋" w:hAnsi="仿宋" w:eastAsia="仿宋" w:cs="仿宋"/>
          <w:color w:val="000000"/>
          <w:spacing w:val="0"/>
          <w:w w:val="100"/>
          <w:position w:val="0"/>
          <w:sz w:val="21"/>
          <w:szCs w:val="21"/>
          <w:lang w:val="en-US" w:eastAsia="en-US" w:bidi="en-US"/>
        </w:rPr>
        <w:t>IP34。</w:t>
      </w:r>
    </w:p>
    <w:p>
      <w:pPr>
        <w:pStyle w:val="16"/>
        <w:keepNext w:val="0"/>
        <w:keepLines w:val="0"/>
        <w:widowControl w:val="0"/>
        <w:shd w:val="clear" w:color="auto" w:fill="auto"/>
        <w:bidi w:val="0"/>
        <w:spacing w:before="0" w:after="0" w:line="413"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室外使用的充电桩防护等级应不小于</w:t>
      </w:r>
      <w:r>
        <w:rPr>
          <w:rFonts w:hint="eastAsia" w:ascii="仿宋" w:hAnsi="仿宋" w:eastAsia="仿宋" w:cs="仿宋"/>
          <w:color w:val="000000"/>
          <w:spacing w:val="0"/>
          <w:w w:val="100"/>
          <w:position w:val="0"/>
          <w:sz w:val="21"/>
          <w:szCs w:val="21"/>
          <w:lang w:val="en-US" w:eastAsia="en-US" w:bidi="en-US"/>
        </w:rPr>
        <w:t>IP54。</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lang w:val="en-US" w:eastAsia="en-US" w:bidi="en-US"/>
        </w:rPr>
        <w:t>5.</w:t>
      </w:r>
      <w:r>
        <w:rPr>
          <w:rFonts w:hint="eastAsia" w:ascii="仿宋" w:hAnsi="仿宋" w:eastAsia="仿宋" w:cs="仿宋"/>
          <w:color w:val="000000"/>
          <w:spacing w:val="0"/>
          <w:w w:val="100"/>
          <w:position w:val="0"/>
          <w:sz w:val="21"/>
          <w:szCs w:val="21"/>
          <w:lang w:val="zh-CN" w:eastAsia="zh-CN" w:bidi="zh-CN"/>
        </w:rPr>
        <w:t>6</w:t>
      </w:r>
      <w:r>
        <w:rPr>
          <w:rFonts w:hint="eastAsia" w:ascii="仿宋" w:hAnsi="仿宋" w:eastAsia="仿宋" w:cs="仿宋"/>
          <w:color w:val="000000"/>
          <w:spacing w:val="0"/>
          <w:w w:val="100"/>
          <w:position w:val="0"/>
          <w:sz w:val="21"/>
          <w:szCs w:val="21"/>
        </w:rPr>
        <w:t>环境适应性</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lang w:val="en-US" w:eastAsia="en-US" w:bidi="en-US"/>
        </w:rPr>
        <w:t>5.6.</w:t>
      </w:r>
      <w:r>
        <w:rPr>
          <w:rFonts w:hint="eastAsia" w:ascii="仿宋" w:hAnsi="仿宋" w:eastAsia="仿宋" w:cs="仿宋"/>
          <w:color w:val="000000"/>
          <w:spacing w:val="0"/>
          <w:w w:val="100"/>
          <w:position w:val="0"/>
          <w:sz w:val="21"/>
          <w:szCs w:val="21"/>
        </w:rPr>
        <w:t>1耐低温</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充电桩在</w:t>
      </w:r>
      <w:r>
        <w:rPr>
          <w:rFonts w:hint="eastAsia" w:ascii="仿宋" w:hAnsi="仿宋" w:eastAsia="仿宋" w:cs="仿宋"/>
          <w:color w:val="000000"/>
          <w:spacing w:val="0"/>
          <w:w w:val="100"/>
          <w:position w:val="0"/>
          <w:sz w:val="21"/>
          <w:szCs w:val="21"/>
          <w:lang w:val="en-US" w:eastAsia="en-US" w:bidi="en-US"/>
        </w:rPr>
        <w:t>-25 °C</w:t>
      </w:r>
      <w:r>
        <w:rPr>
          <w:rFonts w:hint="eastAsia" w:ascii="仿宋" w:hAnsi="仿宋" w:eastAsia="仿宋" w:cs="仿宋"/>
          <w:color w:val="000000"/>
          <w:spacing w:val="0"/>
          <w:w w:val="100"/>
          <w:position w:val="0"/>
          <w:sz w:val="21"/>
          <w:szCs w:val="21"/>
        </w:rPr>
        <w:t xml:space="preserve">±2 </w:t>
      </w:r>
      <w:r>
        <w:rPr>
          <w:rFonts w:hint="eastAsia" w:ascii="仿宋" w:hAnsi="仿宋" w:eastAsia="仿宋" w:cs="仿宋"/>
          <w:color w:val="000000"/>
          <w:spacing w:val="0"/>
          <w:w w:val="100"/>
          <w:position w:val="0"/>
          <w:sz w:val="21"/>
          <w:szCs w:val="21"/>
          <w:lang w:val="en-US" w:eastAsia="en-US" w:bidi="en-US"/>
        </w:rPr>
        <w:t>°C</w:t>
      </w:r>
      <w:r>
        <w:rPr>
          <w:rFonts w:hint="eastAsia" w:ascii="仿宋" w:hAnsi="仿宋" w:eastAsia="仿宋" w:cs="仿宋"/>
          <w:color w:val="000000"/>
          <w:spacing w:val="0"/>
          <w:w w:val="100"/>
          <w:position w:val="0"/>
          <w:sz w:val="21"/>
          <w:szCs w:val="21"/>
        </w:rPr>
        <w:t xml:space="preserve">温度下通电运行8 </w:t>
      </w:r>
      <w:r>
        <w:rPr>
          <w:rFonts w:hint="eastAsia" w:ascii="仿宋" w:hAnsi="仿宋" w:eastAsia="仿宋" w:cs="仿宋"/>
          <w:color w:val="000000"/>
          <w:spacing w:val="0"/>
          <w:w w:val="100"/>
          <w:position w:val="0"/>
          <w:sz w:val="21"/>
          <w:szCs w:val="21"/>
          <w:lang w:val="en-US" w:eastAsia="en-US" w:bidi="en-US"/>
        </w:rPr>
        <w:t>h,</w:t>
      </w:r>
      <w:r>
        <w:rPr>
          <w:rFonts w:hint="eastAsia" w:ascii="仿宋" w:hAnsi="仿宋" w:eastAsia="仿宋" w:cs="仿宋"/>
          <w:color w:val="000000"/>
          <w:spacing w:val="0"/>
          <w:w w:val="100"/>
          <w:position w:val="0"/>
          <w:sz w:val="21"/>
          <w:szCs w:val="21"/>
        </w:rPr>
        <w:t>试验过程中充电桩应能正常工作。</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lang w:val="en-US" w:eastAsia="en-US" w:bidi="en-US"/>
        </w:rPr>
        <w:t>5.6.2</w:t>
      </w:r>
      <w:r>
        <w:rPr>
          <w:rFonts w:hint="eastAsia" w:ascii="仿宋" w:hAnsi="仿宋" w:eastAsia="仿宋" w:cs="仿宋"/>
          <w:color w:val="000000"/>
          <w:spacing w:val="0"/>
          <w:w w:val="100"/>
          <w:position w:val="0"/>
          <w:sz w:val="21"/>
          <w:szCs w:val="21"/>
        </w:rPr>
        <w:t>耐髙温</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 xml:space="preserve">充电桩在+55 </w:t>
      </w:r>
      <w:r>
        <w:rPr>
          <w:rFonts w:hint="eastAsia" w:ascii="仿宋" w:hAnsi="仿宋" w:eastAsia="仿宋" w:cs="仿宋"/>
          <w:color w:val="000000"/>
          <w:spacing w:val="0"/>
          <w:w w:val="100"/>
          <w:position w:val="0"/>
          <w:sz w:val="21"/>
          <w:szCs w:val="21"/>
          <w:lang w:val="en-US" w:eastAsia="en-US" w:bidi="en-US"/>
        </w:rPr>
        <w:t xml:space="preserve">°C </w:t>
      </w:r>
      <w:r>
        <w:rPr>
          <w:rFonts w:hint="eastAsia" w:ascii="仿宋" w:hAnsi="仿宋" w:eastAsia="仿宋" w:cs="仿宋"/>
          <w:color w:val="000000"/>
          <w:spacing w:val="0"/>
          <w:w w:val="100"/>
          <w:position w:val="0"/>
          <w:sz w:val="21"/>
          <w:szCs w:val="21"/>
        </w:rPr>
        <w:t xml:space="preserve">土2 </w:t>
      </w:r>
      <w:r>
        <w:rPr>
          <w:rFonts w:hint="eastAsia" w:ascii="仿宋" w:hAnsi="仿宋" w:eastAsia="仿宋" w:cs="仿宋"/>
          <w:color w:val="000000"/>
          <w:spacing w:val="0"/>
          <w:w w:val="100"/>
          <w:position w:val="0"/>
          <w:sz w:val="21"/>
          <w:szCs w:val="21"/>
          <w:lang w:val="en-US" w:eastAsia="en-US" w:bidi="en-US"/>
        </w:rPr>
        <w:t>°C</w:t>
      </w:r>
      <w:r>
        <w:rPr>
          <w:rFonts w:hint="eastAsia" w:ascii="仿宋" w:hAnsi="仿宋" w:eastAsia="仿宋" w:cs="仿宋"/>
          <w:color w:val="000000"/>
          <w:spacing w:val="0"/>
          <w:w w:val="100"/>
          <w:position w:val="0"/>
          <w:sz w:val="21"/>
          <w:szCs w:val="21"/>
        </w:rPr>
        <w:t xml:space="preserve">温度下通电运行8 </w:t>
      </w:r>
      <w:r>
        <w:rPr>
          <w:rFonts w:hint="eastAsia" w:ascii="仿宋" w:hAnsi="仿宋" w:eastAsia="仿宋" w:cs="仿宋"/>
          <w:color w:val="000000"/>
          <w:spacing w:val="0"/>
          <w:w w:val="100"/>
          <w:position w:val="0"/>
          <w:sz w:val="21"/>
          <w:szCs w:val="21"/>
          <w:lang w:val="en-US" w:eastAsia="en-US" w:bidi="en-US"/>
        </w:rPr>
        <w:t>h,</w:t>
      </w:r>
      <w:r>
        <w:rPr>
          <w:rFonts w:hint="eastAsia" w:ascii="仿宋" w:hAnsi="仿宋" w:eastAsia="仿宋" w:cs="仿宋"/>
          <w:color w:val="000000"/>
          <w:spacing w:val="0"/>
          <w:w w:val="100"/>
          <w:position w:val="0"/>
          <w:sz w:val="21"/>
          <w:szCs w:val="21"/>
        </w:rPr>
        <w:t>试验过程中充电桩应能正常工作。</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bookmarkStart w:id="201" w:name="bookmark52"/>
      <w:bookmarkEnd w:id="201"/>
      <w:r>
        <w:rPr>
          <w:rFonts w:hint="eastAsia" w:ascii="仿宋" w:hAnsi="仿宋" w:eastAsia="仿宋" w:cs="仿宋"/>
          <w:color w:val="000000"/>
          <w:spacing w:val="0"/>
          <w:w w:val="100"/>
          <w:position w:val="0"/>
          <w:sz w:val="21"/>
          <w:szCs w:val="21"/>
          <w:lang w:val="en-US" w:eastAsia="en-US"/>
        </w:rPr>
        <w:t xml:space="preserve">5.6. </w:t>
      </w:r>
      <w:r>
        <w:rPr>
          <w:rFonts w:hint="eastAsia" w:ascii="仿宋" w:hAnsi="仿宋" w:eastAsia="仿宋" w:cs="仿宋"/>
          <w:color w:val="000000"/>
          <w:spacing w:val="0"/>
          <w:w w:val="100"/>
          <w:position w:val="0"/>
          <w:sz w:val="21"/>
          <w:szCs w:val="21"/>
        </w:rPr>
        <w:t>3恒定湿热</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r>
        <w:rPr>
          <w:rFonts w:hint="eastAsia" w:ascii="仿宋" w:hAnsi="仿宋" w:eastAsia="仿宋" w:cs="仿宋"/>
          <w:color w:val="000000"/>
          <w:spacing w:val="0"/>
          <w:w w:val="100"/>
          <w:position w:val="0"/>
          <w:sz w:val="21"/>
          <w:szCs w:val="21"/>
        </w:rPr>
        <w:t xml:space="preserve">充电桩在+40 </w:t>
      </w:r>
      <w:r>
        <w:rPr>
          <w:rFonts w:hint="eastAsia" w:ascii="仿宋" w:hAnsi="仿宋" w:eastAsia="仿宋" w:cs="仿宋"/>
          <w:color w:val="000000"/>
          <w:spacing w:val="0"/>
          <w:w w:val="100"/>
          <w:position w:val="0"/>
          <w:sz w:val="21"/>
          <w:szCs w:val="21"/>
          <w:lang w:val="en-US" w:eastAsia="en-US"/>
        </w:rPr>
        <w:t xml:space="preserve">°C </w:t>
      </w:r>
      <w:r>
        <w:rPr>
          <w:rFonts w:hint="eastAsia" w:ascii="仿宋" w:hAnsi="仿宋" w:eastAsia="仿宋" w:cs="仿宋"/>
          <w:color w:val="000000"/>
          <w:spacing w:val="0"/>
          <w:w w:val="100"/>
          <w:position w:val="0"/>
          <w:sz w:val="21"/>
          <w:szCs w:val="21"/>
        </w:rPr>
        <w:t xml:space="preserve">±2 °C、(93±3) </w:t>
      </w:r>
      <w:r>
        <w:rPr>
          <w:rFonts w:hint="eastAsia" w:ascii="仿宋" w:hAnsi="仿宋" w:eastAsia="仿宋" w:cs="仿宋"/>
          <w:color w:val="000000"/>
          <w:spacing w:val="0"/>
          <w:w w:val="100"/>
          <w:position w:val="0"/>
          <w:sz w:val="21"/>
          <w:szCs w:val="21"/>
          <w:lang w:val="en-US" w:eastAsia="en-US"/>
        </w:rPr>
        <w:t>%RH</w:t>
      </w:r>
      <w:r>
        <w:rPr>
          <w:rFonts w:hint="eastAsia" w:ascii="仿宋" w:hAnsi="仿宋" w:eastAsia="仿宋" w:cs="仿宋"/>
          <w:color w:val="000000"/>
          <w:spacing w:val="0"/>
          <w:w w:val="100"/>
          <w:position w:val="0"/>
          <w:sz w:val="21"/>
          <w:szCs w:val="21"/>
        </w:rPr>
        <w:t xml:space="preserve">条件下通电运行8 </w:t>
      </w:r>
      <w:r>
        <w:rPr>
          <w:rFonts w:hint="eastAsia" w:ascii="仿宋" w:hAnsi="仿宋" w:eastAsia="仿宋" w:cs="仿宋"/>
          <w:color w:val="000000"/>
          <w:spacing w:val="0"/>
          <w:w w:val="100"/>
          <w:position w:val="0"/>
          <w:sz w:val="21"/>
          <w:szCs w:val="21"/>
          <w:lang w:val="en-US" w:eastAsia="en-US"/>
        </w:rPr>
        <w:t>h,</w:t>
      </w:r>
      <w:r>
        <w:rPr>
          <w:rFonts w:hint="eastAsia" w:ascii="仿宋" w:hAnsi="仿宋" w:eastAsia="仿宋" w:cs="仿宋"/>
          <w:color w:val="000000"/>
          <w:spacing w:val="0"/>
          <w:w w:val="100"/>
          <w:position w:val="0"/>
          <w:sz w:val="21"/>
          <w:szCs w:val="21"/>
        </w:rPr>
        <w:t>试验过程中充电桩应能正常工作；试验后立 即按</w:t>
      </w:r>
      <w:r>
        <w:rPr>
          <w:rFonts w:hint="eastAsia" w:ascii="仿宋" w:hAnsi="仿宋" w:eastAsia="仿宋" w:cs="仿宋"/>
          <w:color w:val="000000"/>
          <w:spacing w:val="0"/>
          <w:w w:val="100"/>
          <w:position w:val="0"/>
          <w:sz w:val="21"/>
          <w:szCs w:val="21"/>
          <w:lang w:val="en-US" w:eastAsia="en-US"/>
        </w:rPr>
        <w:t xml:space="preserve">5. 4. </w:t>
      </w:r>
      <w:r>
        <w:rPr>
          <w:rFonts w:hint="eastAsia" w:ascii="仿宋" w:hAnsi="仿宋" w:eastAsia="仿宋" w:cs="仿宋"/>
          <w:color w:val="000000"/>
          <w:spacing w:val="0"/>
          <w:w w:val="100"/>
          <w:position w:val="0"/>
          <w:sz w:val="21"/>
          <w:szCs w:val="21"/>
        </w:rPr>
        <w:t>1规定进行试验，应能正常工作。</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bookmarkStart w:id="202" w:name="bookmark53"/>
      <w:bookmarkEnd w:id="202"/>
      <w:r>
        <w:rPr>
          <w:rFonts w:hint="eastAsia" w:ascii="仿宋" w:hAnsi="仿宋" w:eastAsia="仿宋" w:cs="仿宋"/>
          <w:color w:val="000000"/>
          <w:spacing w:val="0"/>
          <w:w w:val="100"/>
          <w:position w:val="0"/>
          <w:sz w:val="21"/>
          <w:szCs w:val="21"/>
          <w:lang w:val="en-US" w:eastAsia="en-US"/>
        </w:rPr>
        <w:t>6.</w:t>
      </w:r>
      <w:r>
        <w:rPr>
          <w:rFonts w:hint="eastAsia" w:ascii="仿宋" w:hAnsi="仿宋" w:eastAsia="仿宋" w:cs="仿宋"/>
          <w:color w:val="000000"/>
          <w:spacing w:val="0"/>
          <w:w w:val="100"/>
          <w:position w:val="0"/>
          <w:sz w:val="21"/>
          <w:szCs w:val="21"/>
        </w:rPr>
        <w:t>管理平台与通信协议</w:t>
      </w:r>
    </w:p>
    <w:p>
      <w:pPr>
        <w:pStyle w:val="16"/>
        <w:keepNext w:val="0"/>
        <w:keepLines w:val="0"/>
        <w:widowControl w:val="0"/>
        <w:shd w:val="clear" w:color="auto" w:fill="auto"/>
        <w:bidi w:val="0"/>
        <w:spacing w:before="0" w:after="0" w:line="427"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lang w:val="en-US" w:eastAsia="en-US" w:bidi="en-US"/>
        </w:rPr>
        <w:t>6.1</w:t>
      </w:r>
      <w:r>
        <w:rPr>
          <w:rFonts w:hint="eastAsia" w:ascii="仿宋" w:hAnsi="仿宋" w:eastAsia="仿宋" w:cs="仿宋"/>
          <w:color w:val="000000"/>
          <w:spacing w:val="0"/>
          <w:w w:val="100"/>
          <w:position w:val="0"/>
          <w:sz w:val="21"/>
          <w:szCs w:val="21"/>
        </w:rPr>
        <w:t>管理平台概述无人值守，有充电运营管理云平台，实现智能安全运维，具有支付宝、微信、</w:t>
      </w:r>
      <w:r>
        <w:rPr>
          <w:rFonts w:hint="eastAsia" w:ascii="仿宋" w:hAnsi="仿宋" w:eastAsia="仿宋" w:cs="仿宋"/>
          <w:color w:val="000000"/>
          <w:spacing w:val="0"/>
          <w:w w:val="100"/>
          <w:position w:val="0"/>
          <w:sz w:val="21"/>
          <w:szCs w:val="21"/>
          <w:lang w:val="en-US" w:eastAsia="en-US" w:bidi="en-US"/>
        </w:rPr>
        <w:t>APP、</w:t>
      </w:r>
      <w:r>
        <w:rPr>
          <w:rFonts w:hint="eastAsia" w:ascii="仿宋" w:hAnsi="仿宋" w:eastAsia="仿宋" w:cs="仿宋"/>
          <w:color w:val="000000"/>
          <w:spacing w:val="0"/>
          <w:w w:val="100"/>
          <w:position w:val="0"/>
          <w:sz w:val="21"/>
          <w:szCs w:val="21"/>
        </w:rPr>
        <w:t>刷卡 支付功能。</w:t>
      </w:r>
    </w:p>
    <w:p>
      <w:pPr>
        <w:pStyle w:val="16"/>
        <w:keepNext w:val="0"/>
        <w:keepLines w:val="0"/>
        <w:widowControl w:val="0"/>
        <w:numPr>
          <w:ilvl w:val="0"/>
          <w:numId w:val="0"/>
        </w:numPr>
        <w:shd w:val="clear" w:color="auto" w:fill="auto"/>
        <w:tabs>
          <w:tab w:val="left" w:pos="334"/>
        </w:tabs>
        <w:bidi w:val="0"/>
        <w:spacing w:before="0" w:after="0" w:line="408" w:lineRule="exact"/>
        <w:ind w:left="0" w:leftChars="0" w:right="0" w:rightChars="0" w:firstLine="420" w:firstLineChars="200"/>
        <w:jc w:val="left"/>
        <w:rPr>
          <w:rFonts w:hint="eastAsia" w:ascii="仿宋" w:hAnsi="仿宋" w:eastAsia="仿宋" w:cs="仿宋"/>
          <w:sz w:val="21"/>
          <w:szCs w:val="21"/>
        </w:rPr>
      </w:pPr>
      <w:bookmarkStart w:id="203" w:name="bookmark54"/>
      <w:bookmarkEnd w:id="203"/>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6.</w:t>
      </w:r>
      <w:r>
        <w:rPr>
          <w:rFonts w:hint="eastAsia" w:ascii="仿宋" w:hAnsi="仿宋" w:eastAsia="仿宋" w:cs="仿宋"/>
          <w:color w:val="000000"/>
          <w:spacing w:val="0"/>
          <w:w w:val="100"/>
          <w:position w:val="0"/>
          <w:sz w:val="21"/>
          <w:szCs w:val="21"/>
          <w:lang w:val="en-US" w:eastAsia="en-US" w:bidi="en-US"/>
        </w:rPr>
        <w:t>1.</w:t>
      </w:r>
      <w:r>
        <w:rPr>
          <w:rFonts w:hint="eastAsia" w:ascii="仿宋" w:hAnsi="仿宋" w:eastAsia="仿宋" w:cs="仿宋"/>
          <w:color w:val="000000"/>
          <w:spacing w:val="0"/>
          <w:w w:val="100"/>
          <w:position w:val="0"/>
          <w:sz w:val="21"/>
          <w:szCs w:val="21"/>
        </w:rPr>
        <w:t>1组成</w:t>
      </w:r>
    </w:p>
    <w:p>
      <w:pPr>
        <w:pStyle w:val="16"/>
        <w:keepNext w:val="0"/>
        <w:keepLines w:val="0"/>
        <w:widowControl w:val="0"/>
        <w:shd w:val="clear" w:color="auto" w:fill="auto"/>
        <w:bidi w:val="0"/>
        <w:spacing w:before="0" w:after="0" w:line="427" w:lineRule="exact"/>
        <w:ind w:left="0" w:right="0" w:firstLine="420" w:firstLineChars="200"/>
        <w:jc w:val="left"/>
        <w:rPr>
          <w:rFonts w:hint="eastAsia" w:ascii="仿宋" w:hAnsi="仿宋" w:eastAsia="仿宋" w:cs="仿宋"/>
          <w:color w:val="000000"/>
          <w:spacing w:val="0"/>
          <w:w w:val="100"/>
          <w:position w:val="0"/>
          <w:sz w:val="21"/>
          <w:szCs w:val="21"/>
        </w:rPr>
      </w:pPr>
      <w:r>
        <w:rPr>
          <w:rFonts w:hint="eastAsia" w:ascii="仿宋" w:hAnsi="仿宋" w:eastAsia="仿宋" w:cs="仿宋"/>
          <w:color w:val="000000"/>
          <w:spacing w:val="0"/>
          <w:w w:val="100"/>
          <w:position w:val="0"/>
          <w:sz w:val="21"/>
          <w:szCs w:val="21"/>
        </w:rPr>
        <w:t>管理平台由基础设施、数据源、通信系统、监控系统、管理系统组成，安全体系提供安全保障，标准体 系规范平台的规划、建设、管理和使用。</w:t>
      </w:r>
    </w:p>
    <w:p>
      <w:pPr>
        <w:pStyle w:val="16"/>
        <w:keepNext w:val="0"/>
        <w:keepLines w:val="0"/>
        <w:widowControl w:val="0"/>
        <w:shd w:val="clear" w:color="auto" w:fill="auto"/>
        <w:bidi w:val="0"/>
        <w:spacing w:before="0" w:after="0" w:line="427" w:lineRule="exact"/>
        <w:ind w:left="0" w:right="0" w:firstLine="420" w:firstLineChars="200"/>
        <w:jc w:val="left"/>
        <w:rPr>
          <w:rFonts w:hint="eastAsia" w:ascii="仿宋" w:hAnsi="仿宋" w:eastAsia="仿宋" w:cs="仿宋"/>
          <w:color w:val="000000"/>
          <w:spacing w:val="0"/>
          <w:w w:val="100"/>
          <w:position w:val="0"/>
          <w:sz w:val="21"/>
          <w:szCs w:val="21"/>
        </w:rPr>
      </w:pPr>
      <w:bookmarkStart w:id="204" w:name="bookmark55"/>
      <w:bookmarkEnd w:id="204"/>
      <w:r>
        <w:rPr>
          <w:rFonts w:hint="eastAsia" w:ascii="仿宋" w:hAnsi="仿宋" w:eastAsia="仿宋" w:cs="仿宋"/>
          <w:color w:val="000000"/>
          <w:spacing w:val="0"/>
          <w:w w:val="100"/>
          <w:position w:val="0"/>
          <w:sz w:val="21"/>
          <w:szCs w:val="21"/>
          <w:lang w:val="en-US" w:eastAsia="en-US"/>
        </w:rPr>
        <w:t>6.1.2</w:t>
      </w:r>
      <w:r>
        <w:rPr>
          <w:rFonts w:hint="eastAsia" w:ascii="仿宋" w:hAnsi="仿宋" w:eastAsia="仿宋" w:cs="仿宋"/>
          <w:color w:val="000000"/>
          <w:spacing w:val="0"/>
          <w:w w:val="100"/>
          <w:position w:val="0"/>
          <w:sz w:val="21"/>
          <w:szCs w:val="21"/>
        </w:rPr>
        <w:t>基础设施</w:t>
      </w:r>
    </w:p>
    <w:p>
      <w:pPr>
        <w:pStyle w:val="16"/>
        <w:keepNext w:val="0"/>
        <w:keepLines w:val="0"/>
        <w:widowControl w:val="0"/>
        <w:shd w:val="clear" w:color="auto" w:fill="auto"/>
        <w:bidi w:val="0"/>
        <w:spacing w:before="0" w:after="0" w:line="427" w:lineRule="exact"/>
        <w:ind w:left="0" w:right="0" w:firstLine="420" w:firstLineChars="200"/>
        <w:jc w:val="left"/>
        <w:rPr>
          <w:rFonts w:hint="eastAsia" w:ascii="仿宋" w:hAnsi="仿宋" w:eastAsia="仿宋" w:cs="仿宋"/>
          <w:color w:val="000000"/>
          <w:spacing w:val="0"/>
          <w:w w:val="100"/>
          <w:position w:val="0"/>
          <w:sz w:val="21"/>
          <w:szCs w:val="21"/>
        </w:rPr>
      </w:pPr>
      <w:r>
        <w:rPr>
          <w:rFonts w:hint="eastAsia" w:ascii="仿宋" w:hAnsi="仿宋" w:eastAsia="仿宋" w:cs="仿宋"/>
          <w:color w:val="000000"/>
          <w:spacing w:val="0"/>
          <w:w w:val="100"/>
          <w:position w:val="0"/>
          <w:sz w:val="21"/>
          <w:szCs w:val="21"/>
        </w:rPr>
        <w:t>平台依托于电动车充电桩建设，结合对各类咨询的需求，为构建充电信息数据统一管理提供支持。</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数据源</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数据源是平台的数据来源，包含用户数据、异常警告数据、充电订单数据、财务结算，电池数据。</w:t>
      </w:r>
    </w:p>
    <w:p>
      <w:pPr>
        <w:pStyle w:val="16"/>
        <w:keepNext w:val="0"/>
        <w:keepLines w:val="0"/>
        <w:widowControl w:val="0"/>
        <w:numPr>
          <w:ilvl w:val="0"/>
          <w:numId w:val="0"/>
        </w:numPr>
        <w:shd w:val="clear" w:color="auto" w:fill="auto"/>
        <w:tabs>
          <w:tab w:val="left" w:pos="339"/>
        </w:tabs>
        <w:bidi w:val="0"/>
        <w:spacing w:before="0" w:after="0" w:line="410" w:lineRule="exact"/>
        <w:ind w:left="0" w:leftChars="0" w:right="0" w:rightChars="0" w:firstLine="420" w:firstLineChars="200"/>
        <w:jc w:val="left"/>
        <w:rPr>
          <w:rFonts w:hint="eastAsia" w:ascii="仿宋" w:hAnsi="仿宋" w:eastAsia="仿宋" w:cs="仿宋"/>
          <w:sz w:val="21"/>
          <w:szCs w:val="21"/>
        </w:rPr>
      </w:pPr>
      <w:bookmarkStart w:id="205" w:name="bookmark56"/>
      <w:bookmarkEnd w:id="205"/>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6.</w:t>
      </w:r>
      <w:r>
        <w:rPr>
          <w:rFonts w:hint="eastAsia" w:ascii="仿宋" w:hAnsi="仿宋" w:eastAsia="仿宋" w:cs="仿宋"/>
          <w:color w:val="000000"/>
          <w:spacing w:val="0"/>
          <w:w w:val="100"/>
          <w:position w:val="0"/>
          <w:sz w:val="21"/>
          <w:szCs w:val="21"/>
          <w:lang w:val="en-US" w:eastAsia="en-US" w:bidi="en-US"/>
        </w:rPr>
        <w:t xml:space="preserve">1. </w:t>
      </w:r>
      <w:r>
        <w:rPr>
          <w:rFonts w:hint="eastAsia" w:ascii="仿宋" w:hAnsi="仿宋" w:eastAsia="仿宋" w:cs="仿宋"/>
          <w:color w:val="000000"/>
          <w:spacing w:val="0"/>
          <w:w w:val="100"/>
          <w:position w:val="0"/>
          <w:sz w:val="21"/>
          <w:szCs w:val="21"/>
        </w:rPr>
        <w:t>3通信系统</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通信系统是平台与充电桩交换传输体系，为平台的数据釆集、安全传输和交换共享提供支撑，为兼容其他 平台、第三方数据提供保障。</w:t>
      </w:r>
    </w:p>
    <w:p>
      <w:pPr>
        <w:pStyle w:val="16"/>
        <w:keepNext w:val="0"/>
        <w:keepLines w:val="0"/>
        <w:widowControl w:val="0"/>
        <w:numPr>
          <w:ilvl w:val="0"/>
          <w:numId w:val="0"/>
        </w:numPr>
        <w:shd w:val="clear" w:color="auto" w:fill="auto"/>
        <w:tabs>
          <w:tab w:val="left" w:pos="334"/>
        </w:tabs>
        <w:bidi w:val="0"/>
        <w:spacing w:before="0" w:after="0" w:line="410" w:lineRule="exact"/>
        <w:ind w:left="0" w:leftChars="0" w:right="0" w:rightChars="0" w:firstLine="420" w:firstLineChars="200"/>
        <w:jc w:val="both"/>
        <w:rPr>
          <w:rFonts w:hint="eastAsia" w:ascii="仿宋" w:hAnsi="仿宋" w:eastAsia="仿宋" w:cs="仿宋"/>
          <w:sz w:val="21"/>
          <w:szCs w:val="21"/>
        </w:rPr>
      </w:pPr>
      <w:bookmarkStart w:id="206" w:name="bookmark57"/>
      <w:bookmarkEnd w:id="206"/>
      <w:r>
        <w:rPr>
          <w:rFonts w:hint="eastAsia" w:ascii="仿宋" w:hAnsi="仿宋" w:eastAsia="仿宋" w:cs="仿宋"/>
          <w:b w:val="0"/>
          <w:bCs w:val="0"/>
          <w:i w:val="0"/>
          <w:iCs w:val="0"/>
          <w:smallCaps w:val="0"/>
          <w:strike w:val="0"/>
          <w:color w:val="000000"/>
          <w:spacing w:val="0"/>
          <w:w w:val="100"/>
          <w:kern w:val="2"/>
          <w:position w:val="0"/>
          <w:sz w:val="21"/>
          <w:szCs w:val="21"/>
          <w:u w:val="none"/>
          <w:shd w:val="clear" w:color="auto" w:fill="FFFFFF"/>
          <w:lang w:val="en-US" w:eastAsia="en-US" w:bidi="en-US"/>
        </w:rPr>
        <w:t>6.</w:t>
      </w:r>
      <w:r>
        <w:rPr>
          <w:rFonts w:hint="eastAsia" w:ascii="仿宋" w:hAnsi="仿宋" w:eastAsia="仿宋" w:cs="仿宋"/>
          <w:color w:val="000000"/>
          <w:spacing w:val="0"/>
          <w:w w:val="100"/>
          <w:position w:val="0"/>
          <w:sz w:val="21"/>
          <w:szCs w:val="21"/>
          <w:lang w:val="en-US" w:eastAsia="en-US" w:bidi="en-US"/>
        </w:rPr>
        <w:t>1.4</w:t>
      </w:r>
      <w:r>
        <w:rPr>
          <w:rFonts w:hint="eastAsia" w:ascii="仿宋" w:hAnsi="仿宋" w:eastAsia="仿宋" w:cs="仿宋"/>
          <w:color w:val="000000"/>
          <w:spacing w:val="0"/>
          <w:w w:val="100"/>
          <w:position w:val="0"/>
          <w:sz w:val="21"/>
          <w:szCs w:val="21"/>
        </w:rPr>
        <w:t>监控系统</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sz w:val="21"/>
          <w:szCs w:val="21"/>
        </w:rPr>
      </w:pPr>
      <w:r>
        <w:rPr>
          <w:rFonts w:hint="eastAsia" w:ascii="仿宋" w:hAnsi="仿宋" w:eastAsia="仿宋" w:cs="仿宋"/>
          <w:color w:val="000000"/>
          <w:spacing w:val="0"/>
          <w:w w:val="100"/>
          <w:position w:val="0"/>
          <w:sz w:val="21"/>
          <w:szCs w:val="21"/>
        </w:rPr>
        <w:t>监控中心对充电的工作稳定、电池温度、模块温度、电池电压、电池电流进行分析、监控出现异常数据及时进行预警并反馈至相关部门，同时下指令让充电桩停止工作；</w:t>
      </w:r>
    </w:p>
    <w:p>
      <w:pPr>
        <w:pStyle w:val="16"/>
        <w:keepNext w:val="0"/>
        <w:keepLines w:val="0"/>
        <w:widowControl w:val="0"/>
        <w:numPr>
          <w:ilvl w:val="0"/>
          <w:numId w:val="0"/>
        </w:numPr>
        <w:shd w:val="clear" w:color="auto" w:fill="auto"/>
        <w:tabs>
          <w:tab w:val="left" w:pos="334"/>
        </w:tabs>
        <w:bidi w:val="0"/>
        <w:spacing w:before="0" w:after="0" w:line="410" w:lineRule="exact"/>
        <w:ind w:left="0" w:leftChars="0" w:right="0" w:rightChars="0" w:firstLine="420" w:firstLineChars="200"/>
        <w:jc w:val="both"/>
        <w:rPr>
          <w:rFonts w:hint="eastAsia" w:ascii="仿宋" w:hAnsi="仿宋" w:eastAsia="仿宋" w:cs="仿宋"/>
          <w:color w:val="000000"/>
          <w:spacing w:val="0"/>
          <w:w w:val="100"/>
          <w:position w:val="0"/>
          <w:sz w:val="21"/>
          <w:szCs w:val="21"/>
          <w:lang w:val="en-US" w:eastAsia="en-US" w:bidi="en-US"/>
        </w:rPr>
      </w:pPr>
      <w:bookmarkStart w:id="207" w:name="bookmark58"/>
      <w:bookmarkEnd w:id="207"/>
      <w:r>
        <w:rPr>
          <w:rFonts w:hint="eastAsia" w:ascii="仿宋" w:hAnsi="仿宋" w:eastAsia="仿宋" w:cs="仿宋"/>
          <w:color w:val="000000"/>
          <w:spacing w:val="0"/>
          <w:w w:val="100"/>
          <w:position w:val="0"/>
          <w:sz w:val="21"/>
          <w:szCs w:val="21"/>
          <w:lang w:val="en-US" w:eastAsia="en-US" w:bidi="en-US"/>
        </w:rPr>
        <w:t>6.1.5权限系统</w:t>
      </w:r>
    </w:p>
    <w:p>
      <w:pPr>
        <w:pStyle w:val="16"/>
        <w:keepNext w:val="0"/>
        <w:keepLines w:val="0"/>
        <w:widowControl w:val="0"/>
        <w:numPr>
          <w:ilvl w:val="0"/>
          <w:numId w:val="0"/>
        </w:numPr>
        <w:shd w:val="clear" w:color="auto" w:fill="auto"/>
        <w:tabs>
          <w:tab w:val="left" w:pos="334"/>
        </w:tabs>
        <w:bidi w:val="0"/>
        <w:spacing w:before="0" w:after="0" w:line="410" w:lineRule="exact"/>
        <w:ind w:left="0" w:leftChars="0" w:right="0" w:rightChars="0" w:firstLine="420" w:firstLineChars="200"/>
        <w:jc w:val="both"/>
        <w:rPr>
          <w:rFonts w:hint="eastAsia" w:ascii="仿宋" w:hAnsi="仿宋" w:eastAsia="仿宋" w:cs="仿宋"/>
          <w:color w:val="000000"/>
          <w:spacing w:val="0"/>
          <w:w w:val="100"/>
          <w:position w:val="0"/>
          <w:sz w:val="21"/>
          <w:szCs w:val="21"/>
          <w:lang w:val="en-US" w:eastAsia="en-US" w:bidi="en-US"/>
        </w:rPr>
      </w:pPr>
      <w:r>
        <w:rPr>
          <w:rFonts w:hint="eastAsia" w:ascii="仿宋" w:hAnsi="仿宋" w:eastAsia="仿宋" w:cs="仿宋"/>
          <w:color w:val="000000"/>
          <w:spacing w:val="0"/>
          <w:w w:val="100"/>
          <w:position w:val="0"/>
          <w:sz w:val="21"/>
          <w:szCs w:val="21"/>
          <w:lang w:val="en-US" w:eastAsia="en-US" w:bidi="en-US"/>
        </w:rPr>
        <w:t>管理系统是对平台的各项功能设置、权限发放的体系，让使用者更灵活方便；</w:t>
      </w:r>
    </w:p>
    <w:p>
      <w:pPr>
        <w:pStyle w:val="16"/>
        <w:keepNext w:val="0"/>
        <w:keepLines w:val="0"/>
        <w:widowControl w:val="0"/>
        <w:numPr>
          <w:ilvl w:val="0"/>
          <w:numId w:val="0"/>
        </w:numPr>
        <w:shd w:val="clear" w:color="auto" w:fill="auto"/>
        <w:tabs>
          <w:tab w:val="left" w:pos="334"/>
        </w:tabs>
        <w:bidi w:val="0"/>
        <w:spacing w:before="0" w:after="0" w:line="410" w:lineRule="exact"/>
        <w:ind w:left="0" w:leftChars="0" w:right="0" w:rightChars="0" w:firstLine="420" w:firstLineChars="200"/>
        <w:jc w:val="both"/>
        <w:rPr>
          <w:rFonts w:hint="eastAsia" w:ascii="仿宋" w:hAnsi="仿宋" w:eastAsia="仿宋" w:cs="仿宋"/>
          <w:color w:val="000000"/>
          <w:spacing w:val="0"/>
          <w:w w:val="100"/>
          <w:position w:val="0"/>
          <w:sz w:val="21"/>
          <w:szCs w:val="21"/>
          <w:lang w:val="en-US" w:eastAsia="en-US" w:bidi="en-US"/>
        </w:rPr>
      </w:pPr>
      <w:bookmarkStart w:id="208" w:name="bookmark59"/>
      <w:bookmarkEnd w:id="208"/>
      <w:r>
        <w:rPr>
          <w:rFonts w:hint="eastAsia" w:ascii="仿宋" w:hAnsi="仿宋" w:eastAsia="仿宋" w:cs="仿宋"/>
          <w:color w:val="000000"/>
          <w:spacing w:val="0"/>
          <w:w w:val="100"/>
          <w:position w:val="0"/>
          <w:sz w:val="21"/>
          <w:szCs w:val="21"/>
          <w:lang w:val="en-US" w:eastAsia="en-US" w:bidi="en-US"/>
        </w:rPr>
        <w:t>7.</w:t>
      </w:r>
      <w:r>
        <w:rPr>
          <w:rFonts w:hint="eastAsia" w:ascii="仿宋" w:hAnsi="仿宋" w:eastAsia="仿宋" w:cs="仿宋"/>
          <w:color w:val="000000"/>
          <w:spacing w:val="0"/>
          <w:w w:val="100"/>
          <w:position w:val="0"/>
          <w:sz w:val="21"/>
          <w:szCs w:val="21"/>
          <w:lang w:val="en-US" w:eastAsia="zh-CN" w:bidi="en-US"/>
        </w:rPr>
        <w:t>标</w:t>
      </w:r>
      <w:r>
        <w:rPr>
          <w:rFonts w:hint="eastAsia" w:ascii="仿宋" w:hAnsi="仿宋" w:eastAsia="仿宋" w:cs="仿宋"/>
          <w:color w:val="000000"/>
          <w:spacing w:val="0"/>
          <w:w w:val="100"/>
          <w:position w:val="0"/>
          <w:sz w:val="21"/>
          <w:szCs w:val="21"/>
          <w:lang w:val="en-US" w:eastAsia="en-US" w:bidi="en-US"/>
        </w:rPr>
        <w:t>志</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bookmarkStart w:id="209" w:name="bookmark60"/>
      <w:bookmarkEnd w:id="209"/>
      <w:r>
        <w:rPr>
          <w:rFonts w:hint="eastAsia" w:ascii="仿宋" w:hAnsi="仿宋" w:eastAsia="仿宋" w:cs="仿宋"/>
          <w:color w:val="000000"/>
          <w:spacing w:val="0"/>
          <w:w w:val="100"/>
          <w:position w:val="0"/>
          <w:sz w:val="21"/>
          <w:szCs w:val="21"/>
          <w:lang w:val="en-US" w:eastAsia="en-US"/>
        </w:rPr>
        <w:t>7.</w:t>
      </w:r>
      <w:r>
        <w:rPr>
          <w:rFonts w:hint="eastAsia" w:ascii="仿宋" w:hAnsi="仿宋" w:eastAsia="仿宋" w:cs="仿宋"/>
          <w:color w:val="000000"/>
          <w:spacing w:val="0"/>
          <w:w w:val="100"/>
          <w:position w:val="0"/>
          <w:sz w:val="21"/>
          <w:szCs w:val="21"/>
        </w:rPr>
        <w:t>1产品标志</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bookmarkStart w:id="210" w:name="bookmark61"/>
      <w:bookmarkEnd w:id="210"/>
      <w:r>
        <w:rPr>
          <w:rFonts w:hint="eastAsia" w:ascii="仿宋" w:hAnsi="仿宋" w:eastAsia="仿宋" w:cs="仿宋"/>
          <w:color w:val="000000"/>
          <w:spacing w:val="0"/>
          <w:w w:val="100"/>
          <w:position w:val="0"/>
          <w:sz w:val="21"/>
          <w:szCs w:val="21"/>
          <w:lang w:val="en-US" w:eastAsia="en-US"/>
        </w:rPr>
        <w:t>7.1.</w:t>
      </w:r>
      <w:r>
        <w:rPr>
          <w:rFonts w:hint="eastAsia" w:ascii="仿宋" w:hAnsi="仿宋" w:eastAsia="仿宋" w:cs="仿宋"/>
          <w:color w:val="000000"/>
          <w:spacing w:val="0"/>
          <w:w w:val="100"/>
          <w:position w:val="0"/>
          <w:sz w:val="21"/>
          <w:szCs w:val="21"/>
        </w:rPr>
        <w:t>1充电桩的标志牌应清晰易读，固定牢固，并应具有以下内容:</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bookmarkStart w:id="211" w:name="bookmark62"/>
      <w:bookmarkEnd w:id="211"/>
      <w:r>
        <w:rPr>
          <w:rFonts w:hint="eastAsia" w:ascii="仿宋" w:hAnsi="仿宋" w:eastAsia="仿宋" w:cs="仿宋"/>
          <w:color w:val="000000"/>
          <w:spacing w:val="0"/>
          <w:w w:val="100"/>
          <w:position w:val="0"/>
          <w:sz w:val="21"/>
          <w:szCs w:val="21"/>
          <w:lang w:val="en-US" w:eastAsia="en-US"/>
        </w:rPr>
        <w:t>7.1.2</w:t>
      </w:r>
      <w:r>
        <w:rPr>
          <w:rFonts w:hint="eastAsia" w:ascii="仿宋" w:hAnsi="仿宋" w:eastAsia="仿宋" w:cs="仿宋"/>
          <w:color w:val="000000"/>
          <w:spacing w:val="0"/>
          <w:w w:val="100"/>
          <w:position w:val="0"/>
          <w:sz w:val="21"/>
          <w:szCs w:val="21"/>
        </w:rPr>
        <w:t>产品的注册厂商名、主要性能参数、型号生产日期及序列号;</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bookmarkStart w:id="212" w:name="bookmark63"/>
      <w:bookmarkEnd w:id="212"/>
      <w:r>
        <w:rPr>
          <w:rFonts w:hint="eastAsia" w:ascii="仿宋" w:hAnsi="仿宋" w:eastAsia="仿宋" w:cs="仿宋"/>
          <w:color w:val="000000"/>
          <w:spacing w:val="0"/>
          <w:w w:val="100"/>
          <w:position w:val="0"/>
          <w:sz w:val="21"/>
          <w:szCs w:val="21"/>
          <w:lang w:val="en-US" w:eastAsia="en-US"/>
        </w:rPr>
        <w:t>7.1.</w:t>
      </w:r>
      <w:r>
        <w:rPr>
          <w:rFonts w:hint="eastAsia" w:ascii="仿宋" w:hAnsi="仿宋" w:eastAsia="仿宋" w:cs="仿宋"/>
          <w:color w:val="000000"/>
          <w:spacing w:val="0"/>
          <w:w w:val="100"/>
          <w:position w:val="0"/>
          <w:sz w:val="21"/>
          <w:szCs w:val="21"/>
        </w:rPr>
        <w:t>3用户接口应拥有提示用户进行操作的说明及刷卡区标签。</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bookmarkStart w:id="213" w:name="bookmark64"/>
      <w:bookmarkEnd w:id="213"/>
      <w:r>
        <w:rPr>
          <w:rFonts w:hint="eastAsia" w:ascii="仿宋" w:hAnsi="仿宋" w:eastAsia="仿宋" w:cs="仿宋"/>
          <w:color w:val="000000"/>
          <w:spacing w:val="0"/>
          <w:w w:val="100"/>
          <w:position w:val="0"/>
          <w:sz w:val="21"/>
          <w:szCs w:val="21"/>
          <w:lang w:val="en-US" w:eastAsia="en-US"/>
        </w:rPr>
        <w:t>7.</w:t>
      </w:r>
      <w:r>
        <w:rPr>
          <w:rFonts w:hint="eastAsia" w:ascii="仿宋" w:hAnsi="仿宋" w:eastAsia="仿宋" w:cs="仿宋"/>
          <w:color w:val="000000"/>
          <w:spacing w:val="0"/>
          <w:w w:val="100"/>
          <w:position w:val="0"/>
          <w:sz w:val="21"/>
          <w:szCs w:val="21"/>
          <w:lang w:val="zh-CN" w:eastAsia="zh-CN"/>
        </w:rPr>
        <w:t>2</w:t>
      </w:r>
      <w:r>
        <w:rPr>
          <w:rFonts w:hint="eastAsia" w:ascii="仿宋" w:hAnsi="仿宋" w:eastAsia="仿宋" w:cs="仿宋"/>
          <w:color w:val="000000"/>
          <w:spacing w:val="0"/>
          <w:w w:val="100"/>
          <w:position w:val="0"/>
          <w:sz w:val="21"/>
          <w:szCs w:val="21"/>
        </w:rPr>
        <w:t>安全标志</w:t>
      </w:r>
    </w:p>
    <w:p>
      <w:pPr>
        <w:pStyle w:val="16"/>
        <w:keepNext w:val="0"/>
        <w:keepLines w:val="0"/>
        <w:widowControl w:val="0"/>
        <w:shd w:val="clear" w:color="auto" w:fill="auto"/>
        <w:bidi w:val="0"/>
        <w:spacing w:before="0" w:after="0" w:line="410" w:lineRule="exact"/>
        <w:ind w:left="0" w:right="0" w:firstLine="420" w:firstLineChars="200"/>
        <w:jc w:val="left"/>
        <w:rPr>
          <w:rFonts w:hint="eastAsia" w:ascii="仿宋" w:hAnsi="仿宋" w:eastAsia="仿宋" w:cs="仿宋"/>
          <w:color w:val="000000"/>
          <w:spacing w:val="0"/>
          <w:w w:val="100"/>
          <w:position w:val="0"/>
          <w:sz w:val="21"/>
          <w:szCs w:val="21"/>
        </w:rPr>
      </w:pPr>
      <w:r>
        <w:rPr>
          <w:rFonts w:hint="eastAsia" w:ascii="仿宋" w:hAnsi="仿宋" w:eastAsia="仿宋" w:cs="仿宋"/>
          <w:color w:val="000000"/>
          <w:spacing w:val="0"/>
          <w:w w:val="100"/>
          <w:position w:val="0"/>
          <w:sz w:val="21"/>
          <w:szCs w:val="21"/>
          <w:lang w:val="en-US" w:eastAsia="en-US"/>
        </w:rPr>
        <w:t>7.2.</w:t>
      </w:r>
      <w:r>
        <w:rPr>
          <w:rFonts w:hint="eastAsia" w:ascii="仿宋" w:hAnsi="仿宋" w:eastAsia="仿宋" w:cs="仿宋"/>
          <w:color w:val="000000"/>
          <w:spacing w:val="0"/>
          <w:w w:val="100"/>
          <w:position w:val="0"/>
          <w:sz w:val="21"/>
          <w:szCs w:val="21"/>
        </w:rPr>
        <w:t>1充电桩安全标识除应符合</w:t>
      </w:r>
      <w:r>
        <w:rPr>
          <w:rFonts w:hint="eastAsia" w:ascii="仿宋" w:hAnsi="仿宋" w:eastAsia="仿宋" w:cs="仿宋"/>
          <w:color w:val="000000"/>
          <w:spacing w:val="0"/>
          <w:w w:val="100"/>
          <w:position w:val="0"/>
          <w:sz w:val="21"/>
          <w:szCs w:val="21"/>
          <w:lang w:val="en-US" w:eastAsia="en-US"/>
        </w:rPr>
        <w:t>GB 4706. 1—2005</w:t>
      </w:r>
      <w:r>
        <w:rPr>
          <w:rFonts w:hint="eastAsia" w:ascii="仿宋" w:hAnsi="仿宋" w:eastAsia="仿宋" w:cs="仿宋"/>
          <w:color w:val="000000"/>
          <w:spacing w:val="0"/>
          <w:w w:val="100"/>
          <w:position w:val="0"/>
          <w:sz w:val="21"/>
          <w:szCs w:val="21"/>
        </w:rPr>
        <w:t>中的规定外，还应符合以下内容: 非工作人员请勿打开；</w:t>
      </w:r>
    </w:p>
    <w:p>
      <w:pPr>
        <w:pStyle w:val="16"/>
        <w:keepNext w:val="0"/>
        <w:keepLines w:val="0"/>
        <w:widowControl w:val="0"/>
        <w:shd w:val="clear" w:color="auto" w:fill="auto"/>
        <w:bidi w:val="0"/>
        <w:spacing w:before="0" w:after="0" w:line="451" w:lineRule="exact"/>
        <w:ind w:left="0" w:right="0" w:firstLine="420" w:firstLineChars="200"/>
        <w:jc w:val="left"/>
        <w:rPr>
          <w:rFonts w:hint="eastAsia" w:ascii="仿宋" w:hAnsi="仿宋" w:eastAsia="仿宋" w:cs="仿宋"/>
          <w:color w:val="000000"/>
          <w:spacing w:val="0"/>
          <w:w w:val="100"/>
          <w:position w:val="0"/>
          <w:sz w:val="21"/>
          <w:szCs w:val="21"/>
        </w:rPr>
      </w:pPr>
      <w:r>
        <w:rPr>
          <w:rFonts w:hint="eastAsia" w:ascii="仿宋" w:hAnsi="仿宋" w:eastAsia="仿宋" w:cs="仿宋"/>
          <w:color w:val="000000"/>
          <w:spacing w:val="0"/>
          <w:w w:val="100"/>
          <w:position w:val="0"/>
          <w:sz w:val="21"/>
          <w:szCs w:val="21"/>
        </w:rPr>
        <w:t>严禁不匹配的蓄电池充电；</w:t>
      </w:r>
    </w:p>
    <w:p>
      <w:pPr>
        <w:pStyle w:val="16"/>
        <w:keepNext w:val="0"/>
        <w:keepLines w:val="0"/>
        <w:widowControl w:val="0"/>
        <w:shd w:val="clear" w:color="auto" w:fill="auto"/>
        <w:bidi w:val="0"/>
        <w:spacing w:before="0" w:after="0" w:line="451" w:lineRule="exact"/>
        <w:ind w:left="0" w:right="0" w:firstLine="420" w:firstLineChars="200"/>
        <w:jc w:val="left"/>
        <w:rPr>
          <w:rFonts w:hint="eastAsia" w:ascii="仿宋" w:hAnsi="仿宋" w:eastAsia="仿宋" w:cs="仿宋"/>
          <w:color w:val="000000"/>
          <w:spacing w:val="0"/>
          <w:w w:val="100"/>
          <w:position w:val="0"/>
          <w:sz w:val="21"/>
          <w:szCs w:val="21"/>
        </w:rPr>
      </w:pPr>
      <w:r>
        <w:rPr>
          <w:rFonts w:hint="eastAsia" w:ascii="仿宋" w:hAnsi="仿宋" w:eastAsia="仿宋" w:cs="仿宋"/>
          <w:color w:val="000000"/>
          <w:spacing w:val="0"/>
          <w:w w:val="100"/>
          <w:position w:val="0"/>
          <w:sz w:val="21"/>
          <w:szCs w:val="21"/>
        </w:rPr>
        <w:t>适用电压按充电桩的标识电压；</w:t>
      </w:r>
    </w:p>
    <w:p>
      <w:pPr>
        <w:pStyle w:val="16"/>
        <w:keepNext w:val="0"/>
        <w:keepLines w:val="0"/>
        <w:widowControl w:val="0"/>
        <w:shd w:val="clear" w:color="auto" w:fill="auto"/>
        <w:bidi w:val="0"/>
        <w:spacing w:before="0" w:after="0" w:line="451" w:lineRule="exact"/>
        <w:ind w:left="0" w:right="0" w:firstLine="420" w:firstLineChars="200"/>
        <w:jc w:val="left"/>
        <w:rPr>
          <w:rFonts w:hint="eastAsia" w:ascii="仿宋" w:hAnsi="仿宋" w:eastAsia="仿宋" w:cs="仿宋"/>
          <w:color w:val="000000"/>
          <w:spacing w:val="0"/>
          <w:w w:val="100"/>
          <w:position w:val="0"/>
          <w:sz w:val="24"/>
          <w:szCs w:val="24"/>
          <w:lang w:eastAsia="zh-CN"/>
        </w:rPr>
      </w:pPr>
      <w:r>
        <w:rPr>
          <w:rFonts w:hint="eastAsia" w:ascii="仿宋" w:hAnsi="仿宋" w:eastAsia="仿宋" w:cs="仿宋"/>
          <w:color w:val="000000"/>
          <w:spacing w:val="0"/>
          <w:w w:val="100"/>
          <w:position w:val="0"/>
          <w:sz w:val="21"/>
          <w:szCs w:val="21"/>
        </w:rPr>
        <w:t>禁止采用非充电桩厂家认可的充电线缆</w:t>
      </w:r>
      <w:r>
        <w:rPr>
          <w:rFonts w:hint="eastAsia" w:ascii="仿宋" w:hAnsi="仿宋" w:eastAsia="仿宋" w:cs="仿宋"/>
          <w:color w:val="000000"/>
          <w:spacing w:val="0"/>
          <w:w w:val="100"/>
          <w:position w:val="0"/>
          <w:sz w:val="21"/>
          <w:szCs w:val="21"/>
          <w:lang w:eastAsia="zh-CN"/>
        </w:rPr>
        <w:t>。</w:t>
      </w:r>
    </w:p>
    <w:p>
      <w:pPr>
        <w:pStyle w:val="16"/>
        <w:keepNext w:val="0"/>
        <w:keepLines w:val="0"/>
        <w:widowControl w:val="0"/>
        <w:shd w:val="clear" w:color="auto" w:fill="auto"/>
        <w:bidi w:val="0"/>
        <w:spacing w:before="0" w:after="0" w:line="451" w:lineRule="exact"/>
        <w:ind w:left="0" w:right="0" w:firstLine="480" w:firstLineChars="200"/>
        <w:jc w:val="left"/>
        <w:rPr>
          <w:rFonts w:hint="eastAsia" w:ascii="黑体" w:hAnsi="黑体" w:eastAsia="黑体"/>
          <w:b w:val="0"/>
          <w:bCs/>
          <w:sz w:val="24"/>
          <w:szCs w:val="24"/>
          <w:lang w:val="en-US" w:eastAsia="zh-CN"/>
        </w:rPr>
      </w:pPr>
    </w:p>
    <w:p>
      <w:pPr>
        <w:pStyle w:val="16"/>
        <w:keepNext w:val="0"/>
        <w:keepLines w:val="0"/>
        <w:widowControl w:val="0"/>
        <w:shd w:val="clear" w:color="auto" w:fill="auto"/>
        <w:bidi w:val="0"/>
        <w:spacing w:before="0" w:after="0" w:line="451" w:lineRule="exact"/>
        <w:ind w:right="0"/>
        <w:jc w:val="left"/>
        <w:rPr>
          <w:rFonts w:hint="default" w:ascii="仿宋" w:hAnsi="仿宋" w:eastAsia="仿宋" w:cs="仿宋"/>
          <w:color w:val="000000"/>
          <w:spacing w:val="0"/>
          <w:w w:val="100"/>
          <w:position w:val="0"/>
          <w:sz w:val="24"/>
          <w:szCs w:val="24"/>
          <w:lang w:val="en-US" w:eastAsia="zh-CN"/>
        </w:rPr>
      </w:pPr>
      <w:r>
        <w:rPr>
          <w:rFonts w:hint="eastAsia" w:ascii="黑体" w:hAnsi="黑体" w:eastAsia="黑体"/>
          <w:b w:val="0"/>
          <w:bCs/>
          <w:sz w:val="24"/>
          <w:szCs w:val="24"/>
          <w:lang w:val="en-US" w:eastAsia="zh-CN"/>
        </w:rPr>
        <w:t>10路户外箱式充电桩</w:t>
      </w:r>
      <w:r>
        <w:drawing>
          <wp:anchor distT="0" distB="0" distL="114300" distR="114300" simplePos="0" relativeHeight="251659264" behindDoc="0" locked="0" layoutInCell="1" allowOverlap="1">
            <wp:simplePos x="0" y="0"/>
            <wp:positionH relativeFrom="column">
              <wp:posOffset>24130</wp:posOffset>
            </wp:positionH>
            <wp:positionV relativeFrom="paragraph">
              <wp:posOffset>457200</wp:posOffset>
            </wp:positionV>
            <wp:extent cx="6036310" cy="1573530"/>
            <wp:effectExtent l="0" t="0" r="2540" b="762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6036310" cy="1573530"/>
                    </a:xfrm>
                    <a:prstGeom prst="rect">
                      <a:avLst/>
                    </a:prstGeom>
                    <a:noFill/>
                    <a:ln>
                      <a:noFill/>
                    </a:ln>
                  </pic:spPr>
                </pic:pic>
              </a:graphicData>
            </a:graphic>
          </wp:anchor>
        </w:drawing>
      </w:r>
      <w:r>
        <w:rPr>
          <w:rFonts w:hint="eastAsia" w:ascii="黑体" w:hAnsi="黑体" w:eastAsia="黑体"/>
          <w:b w:val="0"/>
          <w:bCs/>
          <w:sz w:val="24"/>
          <w:szCs w:val="24"/>
          <w:lang w:val="en-US" w:eastAsia="zh-CN"/>
        </w:rPr>
        <w:t>参考图片</w:t>
      </w:r>
    </w:p>
    <w:p>
      <w:pPr>
        <w:spacing w:line="500" w:lineRule="exact"/>
        <w:jc w:val="left"/>
        <w:outlineLvl w:val="0"/>
        <w:rPr>
          <w:rFonts w:hint="eastAsia" w:ascii="仿宋" w:hAnsi="仿宋" w:eastAsia="仿宋" w:cs="仿宋"/>
          <w:b/>
          <w:bCs/>
          <w:color w:val="auto"/>
          <w:kern w:val="44"/>
          <w:sz w:val="44"/>
          <w:szCs w:val="44"/>
          <w:highlight w:val="none"/>
          <w:lang w:val="en-US" w:eastAsia="zh-CN"/>
        </w:rPr>
      </w:pPr>
      <w:bookmarkStart w:id="214" w:name="_Toc2872"/>
      <w:r>
        <w:rPr>
          <w:rFonts w:hint="eastAsia" w:ascii="黑体" w:hAnsi="黑体" w:eastAsia="黑体"/>
          <w:b w:val="0"/>
          <w:bCs/>
          <w:sz w:val="24"/>
          <w:szCs w:val="24"/>
          <w:lang w:val="en-US" w:eastAsia="zh-CN"/>
        </w:rPr>
        <w:t>10路集中式充电桩参考图片</w:t>
      </w:r>
      <w:bookmarkEnd w:id="214"/>
    </w:p>
    <w:p>
      <w:pPr>
        <w:spacing w:line="500" w:lineRule="exact"/>
        <w:jc w:val="center"/>
        <w:outlineLvl w:val="0"/>
        <w:rPr>
          <w:rFonts w:hint="eastAsia" w:ascii="仿宋" w:hAnsi="仿宋" w:eastAsia="仿宋" w:cs="仿宋"/>
          <w:b/>
          <w:bCs/>
          <w:color w:val="auto"/>
          <w:kern w:val="44"/>
          <w:sz w:val="44"/>
          <w:szCs w:val="44"/>
          <w:highlight w:val="none"/>
          <w:lang w:val="en-US" w:eastAsia="zh-CN"/>
        </w:rPr>
      </w:pPr>
      <w:r>
        <w:drawing>
          <wp:anchor distT="0" distB="0" distL="114300" distR="114300" simplePos="0" relativeHeight="251660288" behindDoc="0" locked="0" layoutInCell="1" allowOverlap="1">
            <wp:simplePos x="0" y="0"/>
            <wp:positionH relativeFrom="column">
              <wp:posOffset>1919605</wp:posOffset>
            </wp:positionH>
            <wp:positionV relativeFrom="paragraph">
              <wp:posOffset>236220</wp:posOffset>
            </wp:positionV>
            <wp:extent cx="1443990" cy="1279525"/>
            <wp:effectExtent l="0" t="0" r="3810" b="15875"/>
            <wp:wrapTopAndBottom/>
            <wp:docPr id="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6"/>
                    <pic:cNvPicPr>
                      <a:picLocks noChangeAspect="1"/>
                    </pic:cNvPicPr>
                  </pic:nvPicPr>
                  <pic:blipFill>
                    <a:blip r:embed="rId5"/>
                    <a:stretch>
                      <a:fillRect/>
                    </a:stretch>
                  </pic:blipFill>
                  <pic:spPr>
                    <a:xfrm>
                      <a:off x="0" y="0"/>
                      <a:ext cx="1443990" cy="1279525"/>
                    </a:xfrm>
                    <a:prstGeom prst="rect">
                      <a:avLst/>
                    </a:prstGeom>
                    <a:noFill/>
                    <a:ln>
                      <a:noFill/>
                    </a:ln>
                  </pic:spPr>
                </pic:pic>
              </a:graphicData>
            </a:graphic>
          </wp:anchor>
        </w:drawing>
      </w:r>
    </w:p>
    <w:p>
      <w:pPr>
        <w:spacing w:line="500" w:lineRule="exact"/>
        <w:jc w:val="center"/>
        <w:outlineLvl w:val="0"/>
        <w:rPr>
          <w:rFonts w:hint="eastAsia" w:ascii="仿宋" w:hAnsi="仿宋" w:eastAsia="仿宋" w:cs="仿宋"/>
          <w:b/>
          <w:bCs/>
          <w:color w:val="auto"/>
          <w:kern w:val="44"/>
          <w:sz w:val="44"/>
          <w:szCs w:val="44"/>
          <w:highlight w:val="none"/>
          <w:lang w:val="en-US" w:eastAsia="zh-CN"/>
        </w:rPr>
      </w:pPr>
    </w:p>
    <w:p>
      <w:pPr>
        <w:pStyle w:val="6"/>
        <w:rPr>
          <w:rFonts w:hint="eastAsia" w:ascii="仿宋" w:hAnsi="仿宋" w:eastAsia="仿宋" w:cs="仿宋"/>
          <w:b/>
          <w:bCs/>
          <w:color w:val="auto"/>
          <w:kern w:val="44"/>
          <w:sz w:val="44"/>
          <w:szCs w:val="44"/>
          <w:highlight w:val="none"/>
          <w:lang w:val="en-US" w:eastAsia="zh-CN"/>
        </w:rPr>
      </w:pPr>
      <w:r>
        <w:rPr>
          <w:rFonts w:hint="eastAsia" w:ascii="黑体" w:hAnsi="黑体" w:eastAsia="黑体"/>
          <w:b w:val="0"/>
          <w:bCs/>
          <w:sz w:val="24"/>
          <w:szCs w:val="24"/>
          <w:lang w:val="en-US" w:eastAsia="zh-CN"/>
        </w:rPr>
        <w:t>2路户外箱式充电桩参考图片</w:t>
      </w:r>
    </w:p>
    <w:p>
      <w:r>
        <w:drawing>
          <wp:anchor distT="0" distB="0" distL="114300" distR="114300" simplePos="0" relativeHeight="251661312" behindDoc="0" locked="0" layoutInCell="1" allowOverlap="1">
            <wp:simplePos x="0" y="0"/>
            <wp:positionH relativeFrom="column">
              <wp:posOffset>2030095</wp:posOffset>
            </wp:positionH>
            <wp:positionV relativeFrom="paragraph">
              <wp:posOffset>320040</wp:posOffset>
            </wp:positionV>
            <wp:extent cx="990600" cy="1626870"/>
            <wp:effectExtent l="0" t="0" r="0" b="11430"/>
            <wp:wrapTopAndBottom/>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990600" cy="1626870"/>
                    </a:xfrm>
                    <a:prstGeom prst="rect">
                      <a:avLst/>
                    </a:prstGeom>
                    <a:noFill/>
                    <a:ln>
                      <a:noFill/>
                    </a:ln>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1">
    <w:nsid w:val="54D727EB"/>
    <w:multiLevelType w:val="multilevel"/>
    <w:tmpl w:val="54D727EB"/>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2">
    <w:nsid w:val="6CD16AA3"/>
    <w:multiLevelType w:val="multilevel"/>
    <w:tmpl w:val="6CD16AA3"/>
    <w:lvl w:ilvl="0" w:tentative="0">
      <w:start w:val="1"/>
      <w:numFmt w:val="lowerLetter"/>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abstractNum w:abstractNumId="3">
    <w:nsid w:val="71FF0ACB"/>
    <w:multiLevelType w:val="multilevel"/>
    <w:tmpl w:val="71FF0ACB"/>
    <w:lvl w:ilvl="0" w:tentative="0">
      <w:start w:val="1"/>
      <w:numFmt w:val="lowerLetter"/>
      <w:pStyle w:val="13"/>
      <w:lvlText w:val="%1)"/>
      <w:lvlJc w:val="left"/>
      <w:pPr>
        <w:tabs>
          <w:tab w:val="left" w:pos="315"/>
        </w:tabs>
        <w:ind w:left="712" w:firstLine="23"/>
      </w:pPr>
      <w:rPr>
        <w:rFonts w:hint="default"/>
      </w:rPr>
    </w:lvl>
    <w:lvl w:ilvl="1" w:tentative="0">
      <w:start w:val="1"/>
      <w:numFmt w:val="lowerLetter"/>
      <w:lvlText w:val="%2)"/>
      <w:lvlJc w:val="left"/>
      <w:pPr>
        <w:tabs>
          <w:tab w:val="left" w:pos="1575"/>
        </w:tabs>
        <w:ind w:left="1575" w:hanging="420"/>
      </w:pPr>
    </w:lvl>
    <w:lvl w:ilvl="2" w:tentative="0">
      <w:start w:val="1"/>
      <w:numFmt w:val="lowerRoman"/>
      <w:lvlText w:val="%3."/>
      <w:lvlJc w:val="right"/>
      <w:pPr>
        <w:tabs>
          <w:tab w:val="left" w:pos="1995"/>
        </w:tabs>
        <w:ind w:left="1995" w:hanging="420"/>
      </w:pPr>
    </w:lvl>
    <w:lvl w:ilvl="3" w:tentative="0">
      <w:start w:val="1"/>
      <w:numFmt w:val="decimal"/>
      <w:lvlText w:val="%4."/>
      <w:lvlJc w:val="left"/>
      <w:pPr>
        <w:tabs>
          <w:tab w:val="left" w:pos="2415"/>
        </w:tabs>
        <w:ind w:left="2415" w:hanging="420"/>
      </w:pPr>
    </w:lvl>
    <w:lvl w:ilvl="4" w:tentative="0">
      <w:start w:val="1"/>
      <w:numFmt w:val="lowerLetter"/>
      <w:lvlText w:val="%5)"/>
      <w:lvlJc w:val="left"/>
      <w:pPr>
        <w:tabs>
          <w:tab w:val="left" w:pos="2835"/>
        </w:tabs>
        <w:ind w:left="2835" w:hanging="420"/>
      </w:pPr>
    </w:lvl>
    <w:lvl w:ilvl="5" w:tentative="0">
      <w:start w:val="1"/>
      <w:numFmt w:val="lowerRoman"/>
      <w:lvlText w:val="%6."/>
      <w:lvlJc w:val="right"/>
      <w:pPr>
        <w:tabs>
          <w:tab w:val="left" w:pos="3255"/>
        </w:tabs>
        <w:ind w:left="3255" w:hanging="420"/>
      </w:pPr>
    </w:lvl>
    <w:lvl w:ilvl="6" w:tentative="0">
      <w:start w:val="1"/>
      <w:numFmt w:val="decimal"/>
      <w:lvlText w:val="%7."/>
      <w:lvlJc w:val="left"/>
      <w:pPr>
        <w:tabs>
          <w:tab w:val="left" w:pos="3675"/>
        </w:tabs>
        <w:ind w:left="3675" w:hanging="420"/>
      </w:pPr>
    </w:lvl>
    <w:lvl w:ilvl="7" w:tentative="0">
      <w:start w:val="1"/>
      <w:numFmt w:val="lowerLetter"/>
      <w:lvlText w:val="%8)"/>
      <w:lvlJc w:val="left"/>
      <w:pPr>
        <w:tabs>
          <w:tab w:val="left" w:pos="4095"/>
        </w:tabs>
        <w:ind w:left="4095" w:hanging="420"/>
      </w:pPr>
    </w:lvl>
    <w:lvl w:ilvl="8" w:tentative="0">
      <w:start w:val="1"/>
      <w:numFmt w:val="lowerRoman"/>
      <w:lvlText w:val="%9."/>
      <w:lvlJc w:val="right"/>
      <w:pPr>
        <w:tabs>
          <w:tab w:val="left" w:pos="4515"/>
        </w:tabs>
        <w:ind w:left="4515"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wNDI0ZjkyOWNjYTdlMzMwZGY0ZjBlOWVkNmY0MmMifQ=="/>
  </w:docVars>
  <w:rsids>
    <w:rsidRoot w:val="00000000"/>
    <w:rsid w:val="5B5D6254"/>
    <w:rsid w:val="5EE539AF"/>
    <w:rsid w:val="6EE67D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character" w:default="1" w:styleId="12">
    <w:name w:val="Default Paragraph Font"/>
    <w:autoRedefine/>
    <w:semiHidden/>
    <w:qFormat/>
    <w:uiPriority w:val="0"/>
  </w:style>
  <w:style w:type="table" w:default="1" w:styleId="10">
    <w:name w:val="Normal Table"/>
    <w:autoRedefine/>
    <w:semiHidden/>
    <w:uiPriority w:val="0"/>
    <w:tblPr>
      <w:tblCellMar>
        <w:top w:w="0" w:type="dxa"/>
        <w:left w:w="108" w:type="dxa"/>
        <w:bottom w:w="0" w:type="dxa"/>
        <w:right w:w="108" w:type="dxa"/>
      </w:tblCellMar>
    </w:tblPr>
  </w:style>
  <w:style w:type="paragraph" w:customStyle="1" w:styleId="2">
    <w:name w:val="_Style 1"/>
    <w:basedOn w:val="1"/>
    <w:qFormat/>
    <w:uiPriority w:val="0"/>
    <w:pPr>
      <w:ind w:firstLine="420" w:firstLineChars="200"/>
    </w:pPr>
    <w:rPr>
      <w:rFonts w:ascii="Calibri" w:hAnsi="Calibri"/>
      <w:sz w:val="21"/>
      <w:szCs w:val="22"/>
    </w:rPr>
  </w:style>
  <w:style w:type="paragraph" w:styleId="4">
    <w:name w:val="Normal Indent"/>
    <w:basedOn w:val="1"/>
    <w:next w:val="1"/>
    <w:qFormat/>
    <w:uiPriority w:val="0"/>
    <w:pPr>
      <w:ind w:firstLine="420"/>
    </w:pPr>
    <w:rPr>
      <w:sz w:val="21"/>
      <w:szCs w:val="20"/>
    </w:rPr>
  </w:style>
  <w:style w:type="paragraph" w:styleId="5">
    <w:name w:val="Body Text"/>
    <w:basedOn w:val="1"/>
    <w:next w:val="6"/>
    <w:qFormat/>
    <w:uiPriority w:val="0"/>
    <w:pPr>
      <w:spacing w:after="120" w:afterLines="0" w:afterAutospacing="0"/>
    </w:pPr>
  </w:style>
  <w:style w:type="paragraph" w:styleId="6">
    <w:name w:val="Body Text First Indent"/>
    <w:basedOn w:val="5"/>
    <w:next w:val="7"/>
    <w:autoRedefine/>
    <w:qFormat/>
    <w:uiPriority w:val="0"/>
    <w:pPr>
      <w:ind w:firstLine="420" w:firstLineChars="100"/>
    </w:pPr>
  </w:style>
  <w:style w:type="paragraph" w:styleId="7">
    <w:name w:val="toc 6"/>
    <w:basedOn w:val="1"/>
    <w:next w:val="1"/>
    <w:qFormat/>
    <w:uiPriority w:val="0"/>
    <w:pPr>
      <w:ind w:left="1050"/>
      <w:jc w:val="left"/>
    </w:pPr>
    <w:rPr>
      <w:rFonts w:ascii="Times New Roman" w:hAnsi="Times New Roman" w:eastAsia="宋体" w:cs="Times New Roman"/>
      <w:sz w:val="18"/>
      <w:szCs w:val="18"/>
    </w:rPr>
  </w:style>
  <w:style w:type="paragraph" w:styleId="8">
    <w:name w:val="Balloon Text"/>
    <w:basedOn w:val="1"/>
    <w:qFormat/>
    <w:uiPriority w:val="0"/>
    <w:rPr>
      <w:sz w:val="18"/>
      <w:szCs w:val="18"/>
    </w:rPr>
  </w:style>
  <w:style w:type="paragraph" w:styleId="9">
    <w:name w:val="Normal (Web)"/>
    <w:basedOn w:val="1"/>
    <w:next w:val="8"/>
    <w:qFormat/>
    <w:uiPriority w:val="0"/>
    <w:pPr>
      <w:widowControl/>
      <w:spacing w:before="100" w:beforeAutospacing="1" w:after="100" w:afterAutospacing="1"/>
      <w:jc w:val="left"/>
    </w:pPr>
    <w:rPr>
      <w:rFonts w:ascii="宋体" w:hAnsi="宋体"/>
      <w:kern w:val="0"/>
      <w:sz w:val="24"/>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正文表标题"/>
    <w:next w:val="1"/>
    <w:autoRedefine/>
    <w:qFormat/>
    <w:uiPriority w:val="0"/>
    <w:pPr>
      <w:numPr>
        <w:ilvl w:val="0"/>
        <w:numId w:val="1"/>
      </w:numPr>
      <w:spacing w:beforeLines="50" w:afterLines="50"/>
      <w:jc w:val="center"/>
    </w:pPr>
    <w:rPr>
      <w:rFonts w:ascii="黑体" w:hAnsi="Times New Roman" w:eastAsia="黑体" w:cs="Times New Roman"/>
      <w:sz w:val="21"/>
      <w:lang w:val="en-US" w:eastAsia="zh-CN" w:bidi="ar-SA"/>
    </w:rPr>
  </w:style>
  <w:style w:type="paragraph" w:customStyle="1" w:styleId="14">
    <w:name w:val="表格内字体字号"/>
    <w:basedOn w:val="1"/>
    <w:autoRedefine/>
    <w:qFormat/>
    <w:uiPriority w:val="0"/>
    <w:pPr>
      <w:topLinePunct/>
      <w:snapToGrid w:val="0"/>
      <w:spacing w:beforeLines="20" w:afterLines="20"/>
      <w:ind w:left="30" w:leftChars="30" w:right="30" w:rightChars="30"/>
      <w:jc w:val="center"/>
    </w:pPr>
    <w:rPr>
      <w:sz w:val="18"/>
      <w:szCs w:val="18"/>
    </w:rPr>
  </w:style>
  <w:style w:type="paragraph" w:customStyle="1" w:styleId="15">
    <w:name w:val="Heading #1|1"/>
    <w:basedOn w:val="1"/>
    <w:autoRedefine/>
    <w:qFormat/>
    <w:uiPriority w:val="0"/>
    <w:pPr>
      <w:widowControl w:val="0"/>
      <w:shd w:val="clear" w:color="auto" w:fill="auto"/>
      <w:jc w:val="center"/>
      <w:outlineLvl w:val="0"/>
    </w:pPr>
    <w:rPr>
      <w:rFonts w:ascii="宋体" w:hAnsi="宋体" w:eastAsia="宋体" w:cs="宋体"/>
      <w:color w:val="202020"/>
      <w:sz w:val="26"/>
      <w:szCs w:val="26"/>
      <w:u w:val="none"/>
      <w:shd w:val="clear" w:color="auto" w:fill="auto"/>
      <w:lang w:val="zh-TW" w:eastAsia="zh-TW" w:bidi="zh-TW"/>
    </w:rPr>
  </w:style>
  <w:style w:type="paragraph" w:customStyle="1" w:styleId="16">
    <w:name w:val="Body text|1"/>
    <w:basedOn w:val="1"/>
    <w:autoRedefine/>
    <w:qFormat/>
    <w:uiPriority w:val="0"/>
    <w:pPr>
      <w:widowControl w:val="0"/>
      <w:shd w:val="clear" w:color="auto" w:fill="auto"/>
      <w:spacing w:line="434"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2024-05-01T00:31:00Z</dcterms:created>
  <dc:creator>Administrator</dc:creator>
  <cp:lastModifiedBy>Administrator</cp:lastModifiedBy>
  <dcterms:modified xsi:type="dcterms:W3CDTF">2025-09-10T01:33:30Z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7ADE7F2C0E494E24B21E6B00F86041F6_12</vt:lpwstr>
  </property>
</Properties>
</file>